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30D16">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附件一</w:t>
      </w:r>
    </w:p>
    <w:p w14:paraId="4AD236DD">
      <w:pPr>
        <w:numPr>
          <w:ilvl w:val="0"/>
          <w:numId w:val="0"/>
        </w:numPr>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安徽省老年大学（学校）标准化建设指标体系</w:t>
      </w:r>
    </w:p>
    <w:tbl>
      <w:tblPr>
        <w:tblStyle w:val="9"/>
        <w:tblW w:w="15980" w:type="dxa"/>
        <w:tblInd w:w="-8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950"/>
        <w:gridCol w:w="2130"/>
        <w:gridCol w:w="800"/>
        <w:gridCol w:w="2890"/>
        <w:gridCol w:w="2780"/>
        <w:gridCol w:w="2890"/>
        <w:gridCol w:w="2700"/>
      </w:tblGrid>
      <w:tr w14:paraId="03A4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71577806">
            <w:pPr>
              <w:numPr>
                <w:ilvl w:val="0"/>
                <w:numId w:val="0"/>
              </w:numPr>
              <w:jc w:val="center"/>
              <w:rPr>
                <w:rFonts w:hint="default" w:ascii="方正仿宋_GBK" w:hAnsi="方正仿宋_GBK" w:eastAsia="方正仿宋_GBK" w:cs="方正仿宋_GBK"/>
                <w:b/>
                <w:bCs/>
                <w:sz w:val="28"/>
                <w:szCs w:val="28"/>
                <w:vertAlign w:val="baseline"/>
                <w:lang w:val="en-US" w:eastAsia="zh-CN"/>
              </w:rPr>
            </w:pPr>
            <w:r>
              <w:rPr>
                <w:rFonts w:hint="eastAsia" w:ascii="方正仿宋_GBK" w:hAnsi="方正仿宋_GBK" w:eastAsia="方正仿宋_GBK" w:cs="方正仿宋_GBK"/>
                <w:b/>
                <w:bCs/>
                <w:sz w:val="28"/>
                <w:szCs w:val="28"/>
                <w:vertAlign w:val="baseline"/>
                <w:lang w:val="en-US" w:eastAsia="zh-CN"/>
              </w:rPr>
              <w:t>一级指标</w:t>
            </w:r>
          </w:p>
        </w:tc>
        <w:tc>
          <w:tcPr>
            <w:tcW w:w="950" w:type="dxa"/>
            <w:vAlign w:val="center"/>
          </w:tcPr>
          <w:p w14:paraId="3245D7F5">
            <w:pPr>
              <w:numPr>
                <w:ilvl w:val="0"/>
                <w:numId w:val="0"/>
              </w:numPr>
              <w:jc w:val="center"/>
              <w:rPr>
                <w:rFonts w:hint="default" w:ascii="方正仿宋_GBK" w:hAnsi="方正仿宋_GBK" w:eastAsia="方正仿宋_GBK" w:cs="方正仿宋_GBK"/>
                <w:b/>
                <w:bCs/>
                <w:sz w:val="28"/>
                <w:szCs w:val="28"/>
                <w:vertAlign w:val="baseline"/>
                <w:lang w:val="en-US" w:eastAsia="zh-CN"/>
              </w:rPr>
            </w:pPr>
            <w:r>
              <w:rPr>
                <w:rFonts w:hint="eastAsia" w:ascii="方正仿宋_GBK" w:hAnsi="方正仿宋_GBK" w:eastAsia="方正仿宋_GBK" w:cs="方正仿宋_GBK"/>
                <w:b/>
                <w:bCs/>
                <w:sz w:val="28"/>
                <w:szCs w:val="28"/>
                <w:vertAlign w:val="baseline"/>
                <w:lang w:val="en-US" w:eastAsia="zh-CN"/>
              </w:rPr>
              <w:t>二级指标</w:t>
            </w:r>
          </w:p>
        </w:tc>
        <w:tc>
          <w:tcPr>
            <w:tcW w:w="2130" w:type="dxa"/>
            <w:vAlign w:val="center"/>
          </w:tcPr>
          <w:p w14:paraId="3299781E">
            <w:pPr>
              <w:numPr>
                <w:ilvl w:val="0"/>
                <w:numId w:val="0"/>
              </w:numPr>
              <w:jc w:val="center"/>
              <w:rPr>
                <w:rFonts w:hint="default" w:ascii="方正仿宋_GBK" w:hAnsi="方正仿宋_GBK" w:eastAsia="方正仿宋_GBK" w:cs="方正仿宋_GBK"/>
                <w:b/>
                <w:bCs/>
                <w:sz w:val="28"/>
                <w:szCs w:val="28"/>
                <w:vertAlign w:val="baseline"/>
                <w:lang w:val="en-US" w:eastAsia="zh-CN"/>
              </w:rPr>
            </w:pPr>
            <w:r>
              <w:rPr>
                <w:rFonts w:hint="eastAsia" w:ascii="方正仿宋_GBK" w:hAnsi="方正仿宋_GBK" w:eastAsia="方正仿宋_GBK" w:cs="方正仿宋_GBK"/>
                <w:b/>
                <w:bCs/>
                <w:sz w:val="28"/>
                <w:szCs w:val="28"/>
                <w:vertAlign w:val="baseline"/>
                <w:lang w:val="en-US" w:eastAsia="zh-CN"/>
              </w:rPr>
              <w:t>定义描述</w:t>
            </w:r>
          </w:p>
        </w:tc>
        <w:tc>
          <w:tcPr>
            <w:tcW w:w="800" w:type="dxa"/>
            <w:vAlign w:val="center"/>
          </w:tcPr>
          <w:p w14:paraId="6BB3B752">
            <w:pPr>
              <w:numPr>
                <w:ilvl w:val="0"/>
                <w:numId w:val="0"/>
              </w:numPr>
              <w:jc w:val="center"/>
              <w:rPr>
                <w:rFonts w:hint="eastAsia" w:ascii="方正仿宋_GBK" w:hAnsi="方正仿宋_GBK" w:eastAsia="方正仿宋_GBK" w:cs="方正仿宋_GBK"/>
                <w:b/>
                <w:bCs/>
                <w:sz w:val="28"/>
                <w:szCs w:val="28"/>
                <w:vertAlign w:val="baseline"/>
                <w:lang w:val="en-US" w:eastAsia="zh-CN"/>
              </w:rPr>
            </w:pPr>
            <w:r>
              <w:rPr>
                <w:rFonts w:hint="eastAsia" w:ascii="方正仿宋_GBK" w:hAnsi="方正仿宋_GBK" w:eastAsia="方正仿宋_GBK" w:cs="方正仿宋_GBK"/>
                <w:b/>
                <w:bCs/>
                <w:sz w:val="28"/>
                <w:szCs w:val="28"/>
                <w:vertAlign w:val="baseline"/>
                <w:lang w:val="en-US" w:eastAsia="zh-CN"/>
              </w:rPr>
              <w:t>三级</w:t>
            </w:r>
          </w:p>
          <w:p w14:paraId="7BE9D297">
            <w:pPr>
              <w:numPr>
                <w:ilvl w:val="0"/>
                <w:numId w:val="0"/>
              </w:numPr>
              <w:jc w:val="center"/>
              <w:rPr>
                <w:rFonts w:hint="eastAsia" w:ascii="方正仿宋_GBK" w:hAnsi="方正仿宋_GBK" w:eastAsia="方正仿宋_GBK" w:cs="方正仿宋_GBK"/>
                <w:b/>
                <w:bCs/>
                <w:sz w:val="28"/>
                <w:szCs w:val="28"/>
                <w:vertAlign w:val="baseline"/>
                <w:lang w:val="en-US" w:eastAsia="zh-CN"/>
              </w:rPr>
            </w:pPr>
            <w:r>
              <w:rPr>
                <w:rFonts w:hint="eastAsia" w:ascii="方正仿宋_GBK" w:hAnsi="方正仿宋_GBK" w:eastAsia="方正仿宋_GBK" w:cs="方正仿宋_GBK"/>
                <w:b/>
                <w:bCs/>
                <w:sz w:val="28"/>
                <w:szCs w:val="28"/>
                <w:vertAlign w:val="baseline"/>
                <w:lang w:val="en-US" w:eastAsia="zh-CN"/>
              </w:rPr>
              <w:t>指标</w:t>
            </w:r>
          </w:p>
        </w:tc>
        <w:tc>
          <w:tcPr>
            <w:tcW w:w="2890" w:type="dxa"/>
            <w:vAlign w:val="center"/>
          </w:tcPr>
          <w:p w14:paraId="632C3D36">
            <w:pPr>
              <w:numPr>
                <w:ilvl w:val="0"/>
                <w:numId w:val="0"/>
              </w:numPr>
              <w:jc w:val="center"/>
              <w:rPr>
                <w:rFonts w:hint="default" w:ascii="方正仿宋_GBK" w:hAnsi="方正仿宋_GBK" w:eastAsia="方正仿宋_GBK" w:cs="方正仿宋_GBK"/>
                <w:b/>
                <w:bCs/>
                <w:sz w:val="28"/>
                <w:szCs w:val="28"/>
                <w:vertAlign w:val="baseline"/>
                <w:lang w:val="en-US" w:eastAsia="zh-CN"/>
              </w:rPr>
            </w:pPr>
            <w:r>
              <w:rPr>
                <w:rFonts w:hint="eastAsia" w:ascii="方正仿宋_GBK" w:hAnsi="方正仿宋_GBK" w:eastAsia="方正仿宋_GBK" w:cs="方正仿宋_GBK"/>
                <w:b/>
                <w:bCs/>
                <w:sz w:val="28"/>
                <w:szCs w:val="28"/>
                <w:vertAlign w:val="baseline"/>
                <w:lang w:val="en-US" w:eastAsia="zh-CN"/>
              </w:rPr>
              <w:t>省校标准</w:t>
            </w:r>
          </w:p>
        </w:tc>
        <w:tc>
          <w:tcPr>
            <w:tcW w:w="2780" w:type="dxa"/>
            <w:vAlign w:val="center"/>
          </w:tcPr>
          <w:p w14:paraId="7EFE082F">
            <w:pPr>
              <w:numPr>
                <w:ilvl w:val="0"/>
                <w:numId w:val="0"/>
              </w:numPr>
              <w:jc w:val="center"/>
              <w:rPr>
                <w:rFonts w:hint="default" w:ascii="方正仿宋_GBK" w:hAnsi="方正仿宋_GBK" w:eastAsia="方正仿宋_GBK" w:cs="方正仿宋_GBK"/>
                <w:b/>
                <w:bCs/>
                <w:sz w:val="28"/>
                <w:szCs w:val="28"/>
                <w:vertAlign w:val="baseline"/>
                <w:lang w:val="en-US" w:eastAsia="zh-CN"/>
              </w:rPr>
            </w:pPr>
            <w:r>
              <w:rPr>
                <w:rFonts w:hint="eastAsia" w:ascii="方正仿宋_GBK" w:hAnsi="方正仿宋_GBK" w:eastAsia="方正仿宋_GBK" w:cs="方正仿宋_GBK"/>
                <w:b/>
                <w:bCs/>
                <w:sz w:val="28"/>
                <w:szCs w:val="28"/>
                <w:vertAlign w:val="baseline"/>
                <w:lang w:val="en-US" w:eastAsia="zh-CN"/>
              </w:rPr>
              <w:t>市校标准</w:t>
            </w:r>
          </w:p>
        </w:tc>
        <w:tc>
          <w:tcPr>
            <w:tcW w:w="2890" w:type="dxa"/>
            <w:vAlign w:val="center"/>
          </w:tcPr>
          <w:p w14:paraId="4705545A">
            <w:pPr>
              <w:numPr>
                <w:ilvl w:val="0"/>
                <w:numId w:val="0"/>
              </w:numPr>
              <w:jc w:val="center"/>
              <w:rPr>
                <w:rFonts w:hint="default" w:ascii="方正仿宋_GBK" w:hAnsi="方正仿宋_GBK" w:eastAsia="方正仿宋_GBK" w:cs="方正仿宋_GBK"/>
                <w:b/>
                <w:bCs/>
                <w:sz w:val="28"/>
                <w:szCs w:val="28"/>
                <w:vertAlign w:val="baseline"/>
                <w:lang w:val="en-US" w:eastAsia="zh-CN"/>
              </w:rPr>
            </w:pPr>
            <w:r>
              <w:rPr>
                <w:rFonts w:hint="eastAsia" w:ascii="方正仿宋_GBK" w:hAnsi="方正仿宋_GBK" w:eastAsia="方正仿宋_GBK" w:cs="方正仿宋_GBK"/>
                <w:b/>
                <w:bCs/>
                <w:sz w:val="28"/>
                <w:szCs w:val="28"/>
                <w:vertAlign w:val="baseline"/>
                <w:lang w:val="en-US" w:eastAsia="zh-CN"/>
              </w:rPr>
              <w:t>县（市、区）校标准</w:t>
            </w:r>
          </w:p>
        </w:tc>
        <w:tc>
          <w:tcPr>
            <w:tcW w:w="2700" w:type="dxa"/>
            <w:vAlign w:val="center"/>
          </w:tcPr>
          <w:p w14:paraId="377EBCA3">
            <w:pPr>
              <w:numPr>
                <w:ilvl w:val="0"/>
                <w:numId w:val="0"/>
              </w:numPr>
              <w:jc w:val="center"/>
              <w:rPr>
                <w:rFonts w:hint="default" w:ascii="方正仿宋_GBK" w:hAnsi="方正仿宋_GBK" w:eastAsia="方正仿宋_GBK" w:cs="方正仿宋_GBK"/>
                <w:b/>
                <w:bCs/>
                <w:sz w:val="28"/>
                <w:szCs w:val="28"/>
                <w:vertAlign w:val="baseline"/>
                <w:lang w:val="en-US" w:eastAsia="zh-CN"/>
              </w:rPr>
            </w:pPr>
            <w:r>
              <w:rPr>
                <w:rFonts w:hint="eastAsia" w:ascii="方正仿宋_GBK" w:hAnsi="方正仿宋_GBK" w:eastAsia="方正仿宋_GBK" w:cs="方正仿宋_GBK"/>
                <w:b/>
                <w:bCs/>
                <w:sz w:val="28"/>
                <w:szCs w:val="28"/>
                <w:vertAlign w:val="baseline"/>
                <w:lang w:val="en-US" w:eastAsia="zh-CN"/>
              </w:rPr>
              <w:t>乡镇（街道）校标准</w:t>
            </w:r>
          </w:p>
        </w:tc>
      </w:tr>
      <w:tr w14:paraId="0569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840" w:type="dxa"/>
            <w:vMerge w:val="restart"/>
            <w:vAlign w:val="center"/>
          </w:tcPr>
          <w:p w14:paraId="11E46A6F">
            <w:pPr>
              <w:numPr>
                <w:ilvl w:val="0"/>
                <w:numId w:val="0"/>
              </w:numPr>
              <w:jc w:val="center"/>
              <w:rPr>
                <w:rFonts w:hint="eastAsia" w:ascii="方正仿宋_GBK" w:hAnsi="方正仿宋_GBK" w:eastAsia="方正仿宋_GBK" w:cs="方正仿宋_GBK"/>
                <w:b/>
                <w:bCs/>
                <w:color w:val="000000"/>
                <w:spacing w:val="0"/>
                <w:w w:val="100"/>
                <w:position w:val="0"/>
                <w:sz w:val="30"/>
                <w:szCs w:val="30"/>
              </w:rPr>
            </w:pPr>
            <w:r>
              <w:rPr>
                <w:rFonts w:hint="eastAsia" w:ascii="方正仿宋_GBK" w:hAnsi="方正仿宋_GBK" w:eastAsia="方正仿宋_GBK" w:cs="方正仿宋_GBK"/>
                <w:b/>
                <w:bCs/>
                <w:color w:val="000000"/>
                <w:spacing w:val="0"/>
                <w:w w:val="100"/>
                <w:position w:val="0"/>
                <w:sz w:val="30"/>
                <w:szCs w:val="30"/>
                <w:lang w:val="en-US" w:eastAsia="zh-CN"/>
              </w:rPr>
              <w:t>一、</w:t>
            </w:r>
            <w:r>
              <w:rPr>
                <w:rFonts w:hint="eastAsia" w:ascii="方正仿宋_GBK" w:hAnsi="方正仿宋_GBK" w:eastAsia="方正仿宋_GBK" w:cs="方正仿宋_GBK"/>
                <w:b/>
                <w:bCs/>
                <w:color w:val="000000"/>
                <w:spacing w:val="0"/>
                <w:w w:val="100"/>
                <w:position w:val="0"/>
                <w:sz w:val="30"/>
                <w:szCs w:val="30"/>
              </w:rPr>
              <w:t>行</w:t>
            </w:r>
          </w:p>
          <w:p w14:paraId="79552AE4">
            <w:pPr>
              <w:numPr>
                <w:ilvl w:val="0"/>
                <w:numId w:val="0"/>
              </w:numPr>
              <w:jc w:val="center"/>
              <w:rPr>
                <w:rFonts w:hint="eastAsia" w:ascii="方正仿宋_GBK" w:hAnsi="方正仿宋_GBK" w:eastAsia="方正仿宋_GBK" w:cs="方正仿宋_GBK"/>
                <w:b/>
                <w:bCs/>
                <w:color w:val="000000"/>
                <w:spacing w:val="0"/>
                <w:w w:val="100"/>
                <w:position w:val="0"/>
                <w:sz w:val="30"/>
                <w:szCs w:val="30"/>
              </w:rPr>
            </w:pPr>
            <w:r>
              <w:rPr>
                <w:rFonts w:hint="eastAsia" w:ascii="方正仿宋_GBK" w:hAnsi="方正仿宋_GBK" w:eastAsia="方正仿宋_GBK" w:cs="方正仿宋_GBK"/>
                <w:b/>
                <w:bCs/>
                <w:color w:val="000000"/>
                <w:spacing w:val="0"/>
                <w:w w:val="100"/>
                <w:position w:val="0"/>
                <w:sz w:val="30"/>
                <w:szCs w:val="30"/>
              </w:rPr>
              <w:t>政</w:t>
            </w:r>
          </w:p>
          <w:p w14:paraId="7AC05E38">
            <w:pPr>
              <w:numPr>
                <w:ilvl w:val="0"/>
                <w:numId w:val="0"/>
              </w:numPr>
              <w:jc w:val="center"/>
              <w:rPr>
                <w:rFonts w:hint="eastAsia" w:ascii="方正仿宋_GBK" w:hAnsi="方正仿宋_GBK" w:eastAsia="方正仿宋_GBK" w:cs="方正仿宋_GBK"/>
                <w:b/>
                <w:bCs/>
                <w:color w:val="000000"/>
                <w:spacing w:val="0"/>
                <w:w w:val="100"/>
                <w:position w:val="0"/>
                <w:sz w:val="30"/>
                <w:szCs w:val="30"/>
              </w:rPr>
            </w:pPr>
            <w:r>
              <w:rPr>
                <w:rFonts w:hint="eastAsia" w:ascii="方正仿宋_GBK" w:hAnsi="方正仿宋_GBK" w:eastAsia="方正仿宋_GBK" w:cs="方正仿宋_GBK"/>
                <w:b/>
                <w:bCs/>
                <w:color w:val="000000"/>
                <w:spacing w:val="0"/>
                <w:w w:val="100"/>
                <w:position w:val="0"/>
                <w:sz w:val="30"/>
                <w:szCs w:val="30"/>
              </w:rPr>
              <w:t>管</w:t>
            </w:r>
          </w:p>
          <w:p w14:paraId="4D2CF58E">
            <w:pPr>
              <w:numPr>
                <w:ilvl w:val="0"/>
                <w:numId w:val="0"/>
              </w:numPr>
              <w:jc w:val="center"/>
              <w:rPr>
                <w:rFonts w:hint="default"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b/>
                <w:bCs/>
                <w:color w:val="000000"/>
                <w:spacing w:val="0"/>
                <w:w w:val="100"/>
                <w:position w:val="0"/>
                <w:sz w:val="30"/>
                <w:szCs w:val="30"/>
              </w:rPr>
              <w:t>理</w:t>
            </w:r>
          </w:p>
        </w:tc>
        <w:tc>
          <w:tcPr>
            <w:tcW w:w="950" w:type="dxa"/>
            <w:vMerge w:val="restart"/>
            <w:vAlign w:val="center"/>
          </w:tcPr>
          <w:p w14:paraId="604720C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color w:val="000000"/>
                <w:spacing w:val="0"/>
                <w:w w:val="100"/>
                <w:position w:val="0"/>
                <w:sz w:val="24"/>
                <w:szCs w:val="24"/>
              </w:rPr>
            </w:pPr>
            <w:r>
              <w:rPr>
                <w:rFonts w:hint="eastAsia" w:ascii="方正仿宋_GBK" w:hAnsi="方正仿宋_GBK" w:eastAsia="方正仿宋_GBK" w:cs="方正仿宋_GBK"/>
                <w:b/>
                <w:bCs/>
                <w:color w:val="000000"/>
                <w:spacing w:val="0"/>
                <w:w w:val="100"/>
                <w:position w:val="0"/>
                <w:sz w:val="24"/>
                <w:szCs w:val="24"/>
              </w:rPr>
              <w:t>组织</w:t>
            </w:r>
          </w:p>
          <w:p w14:paraId="1C4D21AE">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color w:val="000000"/>
                <w:spacing w:val="0"/>
                <w:w w:val="100"/>
                <w:position w:val="0"/>
                <w:sz w:val="24"/>
                <w:szCs w:val="24"/>
              </w:rPr>
              <w:t>机构</w:t>
            </w:r>
          </w:p>
        </w:tc>
        <w:tc>
          <w:tcPr>
            <w:tcW w:w="2130" w:type="dxa"/>
            <w:vMerge w:val="restart"/>
            <w:vAlign w:val="center"/>
          </w:tcPr>
          <w:p w14:paraId="5FDC2D1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领导重视，决策科学，岗位设置合理，分工明确。</w:t>
            </w:r>
          </w:p>
        </w:tc>
        <w:tc>
          <w:tcPr>
            <w:tcW w:w="800" w:type="dxa"/>
            <w:vAlign w:val="center"/>
          </w:tcPr>
          <w:p w14:paraId="50F8A96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b/>
                <w:bCs/>
                <w:sz w:val="21"/>
                <w:szCs w:val="21"/>
                <w:vertAlign w:val="baseline"/>
                <w:lang w:val="en-US" w:eastAsia="zh-CN"/>
              </w:rPr>
            </w:pPr>
            <w:r>
              <w:rPr>
                <w:rFonts w:hint="eastAsia" w:ascii="方正仿宋_GBK" w:hAnsi="方正仿宋_GBK" w:eastAsia="方正仿宋_GBK" w:cs="方正仿宋_GBK"/>
                <w:b/>
                <w:bCs/>
                <w:sz w:val="21"/>
                <w:szCs w:val="21"/>
                <w:vertAlign w:val="baseline"/>
                <w:lang w:val="en-US" w:eastAsia="zh-CN"/>
              </w:rPr>
              <w:t>党政领导重视</w:t>
            </w:r>
          </w:p>
        </w:tc>
        <w:tc>
          <w:tcPr>
            <w:tcW w:w="2890" w:type="dxa"/>
            <w:vAlign w:val="center"/>
          </w:tcPr>
          <w:p w14:paraId="6190565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1.老年大学工作摆上党委政府议事日程，党政领导每年适时听取工作汇报，并切实帮助解决办学中实际困难和问题。</w:t>
            </w:r>
          </w:p>
        </w:tc>
        <w:tc>
          <w:tcPr>
            <w:tcW w:w="2780" w:type="dxa"/>
            <w:vAlign w:val="center"/>
          </w:tcPr>
          <w:p w14:paraId="4917851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明确有领导分管老年大学工作，每年听取工作汇报一次，切实帮助解决办学中实际困难和问题。</w:t>
            </w:r>
          </w:p>
        </w:tc>
        <w:tc>
          <w:tcPr>
            <w:tcW w:w="2890" w:type="dxa"/>
            <w:vAlign w:val="center"/>
          </w:tcPr>
          <w:p w14:paraId="0A856C5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明确有领导分管老年大学工作，每年听取工作汇报一次，帮助解决办学中实际困难和问题。</w:t>
            </w:r>
          </w:p>
        </w:tc>
        <w:tc>
          <w:tcPr>
            <w:tcW w:w="2700" w:type="dxa"/>
            <w:vAlign w:val="center"/>
          </w:tcPr>
          <w:p w14:paraId="50BA3DD7">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sz w:val="21"/>
                <w:szCs w:val="21"/>
                <w:vertAlign w:val="baseline"/>
                <w:lang w:val="en-US" w:eastAsia="zh-CN"/>
              </w:rPr>
              <w:t>明确有领导分管老年学校工作，</w:t>
            </w:r>
            <w:r>
              <w:rPr>
                <w:rFonts w:hint="eastAsia" w:ascii="方正仿宋_GBK" w:hAnsi="方正仿宋_GBK" w:eastAsia="方正仿宋_GBK" w:cs="方正仿宋_GBK"/>
                <w:color w:val="000000"/>
                <w:spacing w:val="0"/>
                <w:w w:val="100"/>
                <w:position w:val="0"/>
                <w:sz w:val="21"/>
                <w:szCs w:val="21"/>
                <w:lang w:val="en-US" w:eastAsia="zh-CN"/>
              </w:rPr>
              <w:t>党政主要负责同志</w:t>
            </w:r>
            <w:r>
              <w:rPr>
                <w:rFonts w:hint="eastAsia" w:ascii="方正仿宋_GBK" w:hAnsi="方正仿宋_GBK" w:eastAsia="方正仿宋_GBK" w:cs="方正仿宋_GBK"/>
                <w:sz w:val="21"/>
                <w:szCs w:val="21"/>
                <w:vertAlign w:val="baseline"/>
                <w:lang w:val="en-US" w:eastAsia="zh-CN"/>
              </w:rPr>
              <w:t>每年听取工作汇报一次，解决办学实际困难和问题。</w:t>
            </w:r>
          </w:p>
        </w:tc>
      </w:tr>
      <w:tr w14:paraId="43C67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840" w:type="dxa"/>
            <w:vMerge w:val="continue"/>
            <w:vAlign w:val="center"/>
          </w:tcPr>
          <w:p w14:paraId="04F856F4">
            <w:pPr>
              <w:numPr>
                <w:ilvl w:val="0"/>
                <w:numId w:val="0"/>
              </w:numPr>
              <w:jc w:val="center"/>
              <w:rPr>
                <w:rFonts w:hint="eastAsia" w:ascii="方正仿宋_GBK" w:hAnsi="方正仿宋_GBK" w:eastAsia="方正仿宋_GBK" w:cs="方正仿宋_GBK"/>
                <w:b/>
                <w:bCs/>
                <w:color w:val="000000"/>
                <w:spacing w:val="0"/>
                <w:w w:val="100"/>
                <w:position w:val="0"/>
                <w:sz w:val="30"/>
                <w:szCs w:val="30"/>
              </w:rPr>
            </w:pPr>
          </w:p>
        </w:tc>
        <w:tc>
          <w:tcPr>
            <w:tcW w:w="950" w:type="dxa"/>
            <w:vMerge w:val="continue"/>
            <w:vAlign w:val="center"/>
          </w:tcPr>
          <w:p w14:paraId="5993C65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color w:val="000000"/>
                <w:spacing w:val="0"/>
                <w:w w:val="100"/>
                <w:position w:val="0"/>
                <w:sz w:val="24"/>
                <w:szCs w:val="24"/>
                <w:lang w:eastAsia="zh-CN"/>
              </w:rPr>
            </w:pPr>
          </w:p>
        </w:tc>
        <w:tc>
          <w:tcPr>
            <w:tcW w:w="2130" w:type="dxa"/>
            <w:vMerge w:val="continue"/>
            <w:vAlign w:val="center"/>
          </w:tcPr>
          <w:p w14:paraId="2E6695FB">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p>
        </w:tc>
        <w:tc>
          <w:tcPr>
            <w:tcW w:w="800" w:type="dxa"/>
            <w:vAlign w:val="center"/>
          </w:tcPr>
          <w:p w14:paraId="3FEF711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b/>
                <w:bCs/>
                <w:sz w:val="21"/>
                <w:szCs w:val="21"/>
                <w:vertAlign w:val="baseline"/>
                <w:lang w:val="en-US" w:eastAsia="zh-CN"/>
              </w:rPr>
            </w:pPr>
            <w:r>
              <w:rPr>
                <w:rFonts w:hint="eastAsia" w:ascii="方正仿宋_GBK" w:hAnsi="方正仿宋_GBK" w:eastAsia="方正仿宋_GBK" w:cs="方正仿宋_GBK"/>
                <w:b/>
                <w:bCs/>
                <w:sz w:val="21"/>
                <w:szCs w:val="21"/>
                <w:vertAlign w:val="baseline"/>
                <w:lang w:val="en-US" w:eastAsia="zh-CN"/>
              </w:rPr>
              <w:t>学校班子建设</w:t>
            </w:r>
          </w:p>
        </w:tc>
        <w:tc>
          <w:tcPr>
            <w:tcW w:w="2890" w:type="dxa"/>
            <w:vAlign w:val="center"/>
          </w:tcPr>
          <w:p w14:paraId="4D5FEB7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2.政治素质高，管理能力强，熟悉相关法律法规及老年教育教学规律，富有创新精神；分工明确，各司其职；具有规范的议事决策机制，校长办公会（校党组织会议）决定重大事项每月至少一次。</w:t>
            </w:r>
          </w:p>
        </w:tc>
        <w:tc>
          <w:tcPr>
            <w:tcW w:w="2780" w:type="dxa"/>
            <w:vAlign w:val="center"/>
          </w:tcPr>
          <w:p w14:paraId="7F989F0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具备较高政治素质和管理能力，熟悉相关法律法规及老年教育教学规律，富有创新精神；分工明确，各司其职；议事决策机制完备，校长办公会（校党组织会议）决定重大事项每月至少一次。</w:t>
            </w:r>
          </w:p>
        </w:tc>
        <w:tc>
          <w:tcPr>
            <w:tcW w:w="2890" w:type="dxa"/>
            <w:vAlign w:val="center"/>
          </w:tcPr>
          <w:p w14:paraId="101B478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具备较高政治素质和管理能力，熟悉相关法律法规及老年教育教学规律，富有创新精神；议事决策机制完备，会议纪要规范完整。</w:t>
            </w:r>
          </w:p>
        </w:tc>
        <w:tc>
          <w:tcPr>
            <w:tcW w:w="2700" w:type="dxa"/>
            <w:vAlign w:val="center"/>
          </w:tcPr>
          <w:p w14:paraId="40144CEF">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sz w:val="21"/>
                <w:szCs w:val="21"/>
                <w:vertAlign w:val="baseline"/>
                <w:lang w:val="en-US" w:eastAsia="zh-CN"/>
              </w:rPr>
              <w:t>具备较高政治素质和管理能力，了解相关法律法规及老年教育教学规律，民主实干，业绩突出。</w:t>
            </w:r>
          </w:p>
        </w:tc>
      </w:tr>
      <w:tr w14:paraId="4233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840" w:type="dxa"/>
            <w:vMerge w:val="continue"/>
            <w:vAlign w:val="center"/>
          </w:tcPr>
          <w:p w14:paraId="7906ABA4">
            <w:pPr>
              <w:numPr>
                <w:ilvl w:val="0"/>
                <w:numId w:val="0"/>
              </w:numPr>
              <w:jc w:val="center"/>
              <w:rPr>
                <w:rFonts w:hint="default" w:ascii="方正仿宋_GBK" w:hAnsi="方正仿宋_GBK" w:eastAsia="方正仿宋_GBK" w:cs="方正仿宋_GBK"/>
                <w:sz w:val="30"/>
                <w:szCs w:val="30"/>
                <w:vertAlign w:val="baseline"/>
                <w:lang w:val="en-US" w:eastAsia="zh-CN"/>
              </w:rPr>
            </w:pPr>
          </w:p>
        </w:tc>
        <w:tc>
          <w:tcPr>
            <w:tcW w:w="950" w:type="dxa"/>
            <w:vMerge w:val="continue"/>
            <w:vAlign w:val="center"/>
          </w:tcPr>
          <w:p w14:paraId="155FE05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b/>
                <w:bCs/>
                <w:sz w:val="24"/>
                <w:szCs w:val="24"/>
                <w:vertAlign w:val="baseline"/>
                <w:lang w:val="en-US" w:eastAsia="zh-CN"/>
              </w:rPr>
            </w:pPr>
          </w:p>
        </w:tc>
        <w:tc>
          <w:tcPr>
            <w:tcW w:w="2130" w:type="dxa"/>
            <w:vMerge w:val="continue"/>
            <w:vAlign w:val="center"/>
          </w:tcPr>
          <w:p w14:paraId="4BFCBCDB">
            <w:pPr>
              <w:numPr>
                <w:ilvl w:val="0"/>
                <w:numId w:val="0"/>
              </w:numPr>
              <w:jc w:val="both"/>
              <w:rPr>
                <w:rFonts w:hint="eastAsia" w:ascii="方正仿宋_GBK" w:hAnsi="方正仿宋_GBK" w:eastAsia="方正仿宋_GBK" w:cs="方正仿宋_GBK"/>
                <w:sz w:val="21"/>
                <w:szCs w:val="21"/>
                <w:vertAlign w:val="baseline"/>
                <w:lang w:val="en-US" w:eastAsia="zh-CN"/>
              </w:rPr>
            </w:pPr>
          </w:p>
        </w:tc>
        <w:tc>
          <w:tcPr>
            <w:tcW w:w="800" w:type="dxa"/>
            <w:vAlign w:val="center"/>
          </w:tcPr>
          <w:p w14:paraId="0A0597D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b/>
                <w:bCs/>
                <w:sz w:val="21"/>
                <w:szCs w:val="21"/>
                <w:vertAlign w:val="baseline"/>
                <w:lang w:val="en-US" w:eastAsia="zh-CN"/>
              </w:rPr>
            </w:pPr>
            <w:r>
              <w:rPr>
                <w:rFonts w:hint="eastAsia" w:ascii="方正仿宋_GBK" w:hAnsi="方正仿宋_GBK" w:eastAsia="方正仿宋_GBK" w:cs="方正仿宋_GBK"/>
                <w:b/>
                <w:bCs/>
                <w:sz w:val="21"/>
                <w:szCs w:val="21"/>
                <w:vertAlign w:val="baseline"/>
                <w:lang w:val="en-US" w:eastAsia="zh-CN"/>
              </w:rPr>
              <w:t>职能部门设置</w:t>
            </w:r>
          </w:p>
        </w:tc>
        <w:tc>
          <w:tcPr>
            <w:tcW w:w="2890" w:type="dxa"/>
            <w:vAlign w:val="center"/>
          </w:tcPr>
          <w:p w14:paraId="2F4A8B5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3.党政、校办、教务、学员、宣传、后勤、科研等职能处室设置合理，职权清晰、职责明确。</w:t>
            </w:r>
          </w:p>
        </w:tc>
        <w:tc>
          <w:tcPr>
            <w:tcW w:w="2780" w:type="dxa"/>
            <w:shd w:val="clear" w:color="auto" w:fill="auto"/>
            <w:vAlign w:val="center"/>
          </w:tcPr>
          <w:p w14:paraId="50912B2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党政、校办、教务、学员、宣传、科研、后勤等职能处室设置合理，职权清晰、职责明确。</w:t>
            </w:r>
          </w:p>
        </w:tc>
        <w:tc>
          <w:tcPr>
            <w:tcW w:w="2890" w:type="dxa"/>
            <w:vAlign w:val="center"/>
          </w:tcPr>
          <w:p w14:paraId="17EF6F4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党政、教务、学员、后勤等职能处室设置合理，人员分工及职责明确。</w:t>
            </w:r>
          </w:p>
        </w:tc>
        <w:tc>
          <w:tcPr>
            <w:tcW w:w="2700" w:type="dxa"/>
            <w:vAlign w:val="center"/>
          </w:tcPr>
          <w:p w14:paraId="2A35E384">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设有教务、教学、学员等管理部门，人员分工及职责明确。</w:t>
            </w:r>
          </w:p>
        </w:tc>
      </w:tr>
      <w:tr w14:paraId="79444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vAlign w:val="center"/>
          </w:tcPr>
          <w:p w14:paraId="47BB97CA">
            <w:pPr>
              <w:numPr>
                <w:ilvl w:val="0"/>
                <w:numId w:val="0"/>
              </w:numPr>
              <w:jc w:val="center"/>
              <w:rPr>
                <w:rFonts w:hint="default" w:ascii="方正仿宋_GBK" w:hAnsi="方正仿宋_GBK" w:eastAsia="方正仿宋_GBK" w:cs="方正仿宋_GBK"/>
                <w:sz w:val="30"/>
                <w:szCs w:val="30"/>
                <w:vertAlign w:val="baseline"/>
                <w:lang w:val="en-US" w:eastAsia="zh-CN"/>
              </w:rPr>
            </w:pPr>
          </w:p>
        </w:tc>
        <w:tc>
          <w:tcPr>
            <w:tcW w:w="950" w:type="dxa"/>
            <w:vMerge w:val="continue"/>
            <w:vAlign w:val="center"/>
          </w:tcPr>
          <w:p w14:paraId="211AC74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b/>
                <w:bCs/>
                <w:sz w:val="24"/>
                <w:szCs w:val="24"/>
                <w:vertAlign w:val="baseline"/>
                <w:lang w:val="en-US" w:eastAsia="zh-CN"/>
              </w:rPr>
            </w:pPr>
          </w:p>
        </w:tc>
        <w:tc>
          <w:tcPr>
            <w:tcW w:w="2130" w:type="dxa"/>
            <w:vMerge w:val="continue"/>
            <w:vAlign w:val="center"/>
          </w:tcPr>
          <w:p w14:paraId="70779430">
            <w:pPr>
              <w:numPr>
                <w:ilvl w:val="0"/>
                <w:numId w:val="0"/>
              </w:numPr>
              <w:jc w:val="both"/>
              <w:rPr>
                <w:rFonts w:hint="eastAsia" w:ascii="方正仿宋_GBK" w:hAnsi="方正仿宋_GBK" w:eastAsia="方正仿宋_GBK" w:cs="方正仿宋_GBK"/>
                <w:sz w:val="21"/>
                <w:szCs w:val="21"/>
                <w:vertAlign w:val="baseline"/>
                <w:lang w:val="en-US" w:eastAsia="zh-CN"/>
              </w:rPr>
            </w:pPr>
          </w:p>
        </w:tc>
        <w:tc>
          <w:tcPr>
            <w:tcW w:w="800" w:type="dxa"/>
            <w:vAlign w:val="center"/>
          </w:tcPr>
          <w:p w14:paraId="1D3F67F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方正仿宋_GBK" w:hAnsi="方正仿宋_GBK" w:eastAsia="方正仿宋_GBK" w:cs="方正仿宋_GBK"/>
                <w:b/>
                <w:bCs/>
                <w:sz w:val="21"/>
                <w:szCs w:val="21"/>
                <w:vertAlign w:val="baseline"/>
                <w:lang w:val="en-US" w:eastAsia="zh-CN"/>
              </w:rPr>
            </w:pPr>
            <w:r>
              <w:rPr>
                <w:rFonts w:hint="eastAsia" w:ascii="方正仿宋_GBK" w:hAnsi="方正仿宋_GBK" w:eastAsia="方正仿宋_GBK" w:cs="方正仿宋_GBK"/>
                <w:b/>
                <w:bCs/>
                <w:sz w:val="21"/>
                <w:szCs w:val="21"/>
                <w:vertAlign w:val="baseline"/>
                <w:lang w:val="en-US" w:eastAsia="zh-CN"/>
              </w:rPr>
              <w:t>院系设置</w:t>
            </w:r>
          </w:p>
        </w:tc>
        <w:tc>
          <w:tcPr>
            <w:tcW w:w="2890" w:type="dxa"/>
            <w:vAlign w:val="center"/>
          </w:tcPr>
          <w:p w14:paraId="281A19B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4.合理设置院系。院系权责明确，自主管理，执行校系二级管理机制。</w:t>
            </w:r>
          </w:p>
        </w:tc>
        <w:tc>
          <w:tcPr>
            <w:tcW w:w="2780" w:type="dxa"/>
            <w:shd w:val="clear" w:color="auto" w:fill="auto"/>
            <w:vAlign w:val="center"/>
          </w:tcPr>
          <w:p w14:paraId="30086F6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合理设置院系，执行校系二级管理机制。</w:t>
            </w:r>
          </w:p>
        </w:tc>
        <w:tc>
          <w:tcPr>
            <w:tcW w:w="2890" w:type="dxa"/>
            <w:vAlign w:val="center"/>
          </w:tcPr>
          <w:p w14:paraId="7460E66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合理设置院系，执行校系二级管理机制。</w:t>
            </w:r>
          </w:p>
        </w:tc>
        <w:tc>
          <w:tcPr>
            <w:tcW w:w="2700" w:type="dxa"/>
            <w:vAlign w:val="center"/>
          </w:tcPr>
          <w:p w14:paraId="372BEDEE">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sz w:val="21"/>
                <w:szCs w:val="21"/>
                <w:vertAlign w:val="baseline"/>
                <w:lang w:val="en-US" w:eastAsia="zh-CN"/>
              </w:rPr>
              <w:t>实行按班管理机制</w:t>
            </w:r>
          </w:p>
        </w:tc>
      </w:tr>
      <w:tr w14:paraId="0F21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40" w:type="dxa"/>
            <w:vMerge w:val="continue"/>
            <w:vAlign w:val="center"/>
          </w:tcPr>
          <w:p w14:paraId="23CFF56D">
            <w:pPr>
              <w:numPr>
                <w:ilvl w:val="0"/>
                <w:numId w:val="0"/>
              </w:numPr>
              <w:jc w:val="center"/>
              <w:rPr>
                <w:rFonts w:hint="default" w:ascii="方正仿宋_GBK" w:hAnsi="方正仿宋_GBK" w:eastAsia="方正仿宋_GBK" w:cs="方正仿宋_GBK"/>
                <w:sz w:val="30"/>
                <w:szCs w:val="30"/>
                <w:vertAlign w:val="baseline"/>
                <w:lang w:val="en-US" w:eastAsia="zh-CN"/>
              </w:rPr>
            </w:pPr>
          </w:p>
        </w:tc>
        <w:tc>
          <w:tcPr>
            <w:tcW w:w="950" w:type="dxa"/>
            <w:vMerge w:val="restart"/>
            <w:vAlign w:val="center"/>
          </w:tcPr>
          <w:p w14:paraId="5388A13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color w:val="000000"/>
                <w:spacing w:val="0"/>
                <w:w w:val="100"/>
                <w:position w:val="0"/>
                <w:sz w:val="24"/>
                <w:szCs w:val="24"/>
              </w:rPr>
            </w:pPr>
            <w:r>
              <w:rPr>
                <w:rFonts w:hint="eastAsia" w:ascii="方正仿宋_GBK" w:hAnsi="方正仿宋_GBK" w:eastAsia="方正仿宋_GBK" w:cs="方正仿宋_GBK"/>
                <w:b/>
                <w:bCs/>
                <w:color w:val="000000"/>
                <w:spacing w:val="0"/>
                <w:w w:val="100"/>
                <w:position w:val="0"/>
                <w:sz w:val="24"/>
                <w:szCs w:val="24"/>
              </w:rPr>
              <w:t>制度</w:t>
            </w:r>
          </w:p>
          <w:p w14:paraId="0826C91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color w:val="000000"/>
                <w:spacing w:val="0"/>
                <w:w w:val="100"/>
                <w:position w:val="0"/>
                <w:sz w:val="24"/>
                <w:szCs w:val="24"/>
              </w:rPr>
              <w:t>建设</w:t>
            </w:r>
          </w:p>
        </w:tc>
        <w:tc>
          <w:tcPr>
            <w:tcW w:w="2130" w:type="dxa"/>
            <w:vMerge w:val="restart"/>
            <w:vAlign w:val="center"/>
          </w:tcPr>
          <w:p w14:paraId="605AD827">
            <w:pPr>
              <w:numPr>
                <w:ilvl w:val="0"/>
                <w:numId w:val="0"/>
              </w:numPr>
              <w:jc w:val="both"/>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制度体系完备，制度设计科学，制度执行力强。</w:t>
            </w:r>
          </w:p>
        </w:tc>
        <w:tc>
          <w:tcPr>
            <w:tcW w:w="800" w:type="dxa"/>
            <w:vAlign w:val="center"/>
          </w:tcPr>
          <w:p w14:paraId="5534B98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b/>
                <w:bCs/>
                <w:sz w:val="21"/>
                <w:szCs w:val="21"/>
                <w:vertAlign w:val="baseline"/>
                <w:lang w:val="en-US" w:eastAsia="zh-CN"/>
              </w:rPr>
            </w:pPr>
            <w:r>
              <w:rPr>
                <w:rFonts w:hint="eastAsia" w:ascii="方正仿宋_GBK" w:hAnsi="方正仿宋_GBK" w:eastAsia="方正仿宋_GBK" w:cs="方正仿宋_GBK"/>
                <w:b/>
                <w:bCs/>
                <w:sz w:val="21"/>
                <w:szCs w:val="21"/>
                <w:vertAlign w:val="baseline"/>
                <w:lang w:val="en-US" w:eastAsia="zh-CN"/>
              </w:rPr>
              <w:t>学校章程</w:t>
            </w:r>
          </w:p>
        </w:tc>
        <w:tc>
          <w:tcPr>
            <w:tcW w:w="2890" w:type="dxa"/>
            <w:vAlign w:val="center"/>
          </w:tcPr>
          <w:p w14:paraId="56DC982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5.有办学《章程》。办学理念、办学原则、办学宗旨明确。有校风、校训。有校徽、校歌。</w:t>
            </w:r>
          </w:p>
        </w:tc>
        <w:tc>
          <w:tcPr>
            <w:tcW w:w="2780" w:type="dxa"/>
            <w:vAlign w:val="center"/>
          </w:tcPr>
          <w:p w14:paraId="14A1A21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有办学《章程》。办学理念、办学原则、办学宗旨明确。有校风、校训。有校徽、校歌。</w:t>
            </w:r>
          </w:p>
        </w:tc>
        <w:tc>
          <w:tcPr>
            <w:tcW w:w="2890" w:type="dxa"/>
            <w:vAlign w:val="center"/>
          </w:tcPr>
          <w:p w14:paraId="4076685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有办学《章程》。办学理念、办学原则、办学宗旨明确。有校风、校训。有校徽、校歌。</w:t>
            </w:r>
          </w:p>
        </w:tc>
        <w:tc>
          <w:tcPr>
            <w:tcW w:w="2700" w:type="dxa"/>
            <w:vAlign w:val="center"/>
          </w:tcPr>
          <w:p w14:paraId="4F2CB575">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sz w:val="21"/>
                <w:szCs w:val="21"/>
                <w:vertAlign w:val="baseline"/>
                <w:lang w:val="en-US" w:eastAsia="zh-CN"/>
              </w:rPr>
              <w:t>有办学《章程》。</w:t>
            </w:r>
          </w:p>
        </w:tc>
      </w:tr>
      <w:tr w14:paraId="34536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40" w:type="dxa"/>
            <w:vMerge w:val="continue"/>
            <w:vAlign w:val="center"/>
          </w:tcPr>
          <w:p w14:paraId="2DE43A85">
            <w:pPr>
              <w:numPr>
                <w:ilvl w:val="0"/>
                <w:numId w:val="0"/>
              </w:numPr>
              <w:jc w:val="center"/>
              <w:rPr>
                <w:rFonts w:hint="default" w:ascii="方正仿宋_GBK" w:hAnsi="方正仿宋_GBK" w:eastAsia="方正仿宋_GBK" w:cs="方正仿宋_GBK"/>
                <w:sz w:val="30"/>
                <w:szCs w:val="30"/>
                <w:vertAlign w:val="baseline"/>
                <w:lang w:val="en-US" w:eastAsia="zh-CN"/>
              </w:rPr>
            </w:pPr>
          </w:p>
        </w:tc>
        <w:tc>
          <w:tcPr>
            <w:tcW w:w="950" w:type="dxa"/>
            <w:vMerge w:val="continue"/>
            <w:vAlign w:val="center"/>
          </w:tcPr>
          <w:p w14:paraId="50D5A003">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2130" w:type="dxa"/>
            <w:vMerge w:val="continue"/>
            <w:vAlign w:val="center"/>
          </w:tcPr>
          <w:p w14:paraId="53459003">
            <w:pPr>
              <w:numPr>
                <w:ilvl w:val="0"/>
                <w:numId w:val="0"/>
              </w:numPr>
              <w:jc w:val="center"/>
              <w:rPr>
                <w:rFonts w:hint="default" w:ascii="方正仿宋_GBK" w:hAnsi="方正仿宋_GBK" w:eastAsia="方正仿宋_GBK" w:cs="方正仿宋_GBK"/>
                <w:sz w:val="21"/>
                <w:szCs w:val="21"/>
                <w:vertAlign w:val="baseline"/>
                <w:lang w:val="en-US" w:eastAsia="zh-CN"/>
              </w:rPr>
            </w:pPr>
          </w:p>
        </w:tc>
        <w:tc>
          <w:tcPr>
            <w:tcW w:w="800" w:type="dxa"/>
            <w:vAlign w:val="center"/>
          </w:tcPr>
          <w:p w14:paraId="660C443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b/>
                <w:bCs/>
                <w:sz w:val="21"/>
                <w:szCs w:val="21"/>
                <w:vertAlign w:val="baseline"/>
                <w:lang w:val="en-US" w:eastAsia="zh-CN"/>
              </w:rPr>
            </w:pPr>
            <w:r>
              <w:rPr>
                <w:rFonts w:hint="eastAsia" w:ascii="方正仿宋_GBK" w:hAnsi="方正仿宋_GBK" w:eastAsia="方正仿宋_GBK" w:cs="方正仿宋_GBK"/>
                <w:b/>
                <w:bCs/>
                <w:sz w:val="21"/>
                <w:szCs w:val="21"/>
                <w:vertAlign w:val="baseline"/>
                <w:lang w:val="en-US" w:eastAsia="zh-CN"/>
              </w:rPr>
              <w:t>管理制度</w:t>
            </w:r>
          </w:p>
        </w:tc>
        <w:tc>
          <w:tcPr>
            <w:tcW w:w="2890" w:type="dxa"/>
            <w:vAlign w:val="center"/>
          </w:tcPr>
          <w:p w14:paraId="08C46C2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6.规章制度齐全，兼具系统性、完整性与可操作性。制度的制定、修改、废除有明确的规定和流程，内部质量诊断与改进机制完善。</w:t>
            </w:r>
          </w:p>
        </w:tc>
        <w:tc>
          <w:tcPr>
            <w:tcW w:w="2780" w:type="dxa"/>
            <w:vAlign w:val="center"/>
          </w:tcPr>
          <w:p w14:paraId="74EA3FC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规章制度齐全，兼具系统性、完整性与可操作性。制度的制定、修改、废除有明确的规定和流程，内部质量诊断与改进机制完善。</w:t>
            </w:r>
          </w:p>
        </w:tc>
        <w:tc>
          <w:tcPr>
            <w:tcW w:w="2890" w:type="dxa"/>
            <w:vAlign w:val="center"/>
          </w:tcPr>
          <w:p w14:paraId="2F35F49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规章制度齐全，兼具系统性、完整性与可操作性。制度的制定、修改、废除有明确的规定和流程。</w:t>
            </w:r>
          </w:p>
        </w:tc>
        <w:tc>
          <w:tcPr>
            <w:tcW w:w="2700" w:type="dxa"/>
            <w:vAlign w:val="center"/>
          </w:tcPr>
          <w:p w14:paraId="1B4F9A03">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有办公、教学、学员等管理制度。</w:t>
            </w:r>
          </w:p>
          <w:p w14:paraId="7452F0EC">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p>
        </w:tc>
      </w:tr>
      <w:tr w14:paraId="1C146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840" w:type="dxa"/>
            <w:vMerge w:val="continue"/>
            <w:vAlign w:val="top"/>
          </w:tcPr>
          <w:p w14:paraId="2D2F2FCC">
            <w:pPr>
              <w:numPr>
                <w:ilvl w:val="0"/>
                <w:numId w:val="0"/>
              </w:numPr>
              <w:jc w:val="center"/>
              <w:rPr>
                <w:rFonts w:hint="default" w:ascii="方正仿宋_GBK" w:hAnsi="方正仿宋_GBK" w:eastAsia="方正仿宋_GBK" w:cs="方正仿宋_GBK"/>
                <w:sz w:val="30"/>
                <w:szCs w:val="30"/>
                <w:vertAlign w:val="baseline"/>
                <w:lang w:val="en-US" w:eastAsia="zh-CN"/>
              </w:rPr>
            </w:pPr>
          </w:p>
        </w:tc>
        <w:tc>
          <w:tcPr>
            <w:tcW w:w="950" w:type="dxa"/>
            <w:vMerge w:val="restart"/>
            <w:vAlign w:val="center"/>
          </w:tcPr>
          <w:p w14:paraId="1753B42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color w:val="000000"/>
                <w:spacing w:val="0"/>
                <w:w w:val="100"/>
                <w:position w:val="0"/>
                <w:sz w:val="24"/>
                <w:szCs w:val="24"/>
                <w:lang w:val="en-US" w:eastAsia="zh-CN"/>
              </w:rPr>
            </w:pPr>
            <w:r>
              <w:rPr>
                <w:rFonts w:hint="eastAsia" w:ascii="方正仿宋_GBK" w:hAnsi="方正仿宋_GBK" w:eastAsia="方正仿宋_GBK" w:cs="方正仿宋_GBK"/>
                <w:b/>
                <w:bCs/>
                <w:color w:val="000000"/>
                <w:spacing w:val="0"/>
                <w:w w:val="100"/>
                <w:position w:val="0"/>
                <w:sz w:val="24"/>
                <w:szCs w:val="24"/>
                <w:lang w:val="en-US" w:eastAsia="zh-CN"/>
              </w:rPr>
              <w:t>团队</w:t>
            </w:r>
          </w:p>
          <w:p w14:paraId="6AA28234">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b/>
                <w:bCs/>
                <w:color w:val="000000"/>
                <w:spacing w:val="0"/>
                <w:w w:val="100"/>
                <w:position w:val="0"/>
                <w:sz w:val="24"/>
                <w:szCs w:val="24"/>
                <w:lang w:val="en-US" w:eastAsia="zh-CN"/>
              </w:rPr>
            </w:pPr>
            <w:r>
              <w:rPr>
                <w:rFonts w:hint="eastAsia" w:ascii="方正仿宋_GBK" w:hAnsi="方正仿宋_GBK" w:eastAsia="方正仿宋_GBK" w:cs="方正仿宋_GBK"/>
                <w:b/>
                <w:bCs/>
                <w:color w:val="000000"/>
                <w:spacing w:val="0"/>
                <w:w w:val="100"/>
                <w:position w:val="0"/>
                <w:sz w:val="24"/>
                <w:szCs w:val="24"/>
                <w:lang w:eastAsia="zh-CN"/>
              </w:rPr>
              <w:t>建设</w:t>
            </w:r>
          </w:p>
        </w:tc>
        <w:tc>
          <w:tcPr>
            <w:tcW w:w="2130" w:type="dxa"/>
            <w:vMerge w:val="restart"/>
            <w:vAlign w:val="center"/>
          </w:tcPr>
          <w:p w14:paraId="1858A460">
            <w:pPr>
              <w:numPr>
                <w:ilvl w:val="0"/>
                <w:numId w:val="0"/>
              </w:numPr>
              <w:jc w:val="both"/>
              <w:rPr>
                <w:rFonts w:hint="eastAsia" w:ascii="方正仿宋_GBK" w:hAnsi="方正仿宋_GBK" w:cs="方正仿宋_GBK" w:eastAsiaTheme="minorEastAsia"/>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人员管理规范，选人用人标准明确，教育培训常态化，考核评比公开公正，管理队伍稳定。</w:t>
            </w:r>
          </w:p>
        </w:tc>
        <w:tc>
          <w:tcPr>
            <w:tcW w:w="800" w:type="dxa"/>
            <w:vAlign w:val="center"/>
          </w:tcPr>
          <w:p w14:paraId="4C5DDF30">
            <w:pPr>
              <w:numPr>
                <w:ilvl w:val="0"/>
                <w:numId w:val="0"/>
              </w:numPr>
              <w:ind w:left="0" w:leftChars="0" w:firstLine="0" w:firstLineChars="0"/>
              <w:jc w:val="center"/>
              <w:rPr>
                <w:rFonts w:hint="eastAsia" w:ascii="方正仿宋_GBK" w:hAnsi="方正仿宋_GBK" w:eastAsia="方正仿宋_GBK" w:cs="方正仿宋_GBK"/>
                <w:b/>
                <w:bCs/>
                <w:color w:val="000000"/>
                <w:spacing w:val="0"/>
                <w:w w:val="100"/>
                <w:position w:val="0"/>
                <w:sz w:val="21"/>
                <w:szCs w:val="21"/>
                <w:lang w:val="en-US" w:eastAsia="zh-CN"/>
              </w:rPr>
            </w:pPr>
            <w:r>
              <w:rPr>
                <w:rFonts w:hint="eastAsia" w:ascii="方正仿宋_GBK" w:hAnsi="方正仿宋_GBK" w:eastAsia="方正仿宋_GBK" w:cs="方正仿宋_GBK"/>
                <w:b/>
                <w:bCs/>
                <w:color w:val="000000"/>
                <w:spacing w:val="0"/>
                <w:w w:val="100"/>
                <w:position w:val="0"/>
                <w:sz w:val="21"/>
                <w:szCs w:val="21"/>
              </w:rPr>
              <w:t>人员规模</w:t>
            </w:r>
          </w:p>
        </w:tc>
        <w:tc>
          <w:tcPr>
            <w:tcW w:w="2890" w:type="dxa"/>
            <w:vAlign w:val="center"/>
          </w:tcPr>
          <w:p w14:paraId="0926AFE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7.</w:t>
            </w:r>
            <w:r>
              <w:rPr>
                <w:rFonts w:hint="default" w:ascii="方正仿宋_GBK" w:hAnsi="方正仿宋_GBK" w:eastAsia="方正仿宋_GBK" w:cs="方正仿宋_GBK"/>
                <w:sz w:val="21"/>
                <w:szCs w:val="21"/>
                <w:vertAlign w:val="baseline"/>
                <w:lang w:val="en-US" w:eastAsia="zh-CN"/>
              </w:rPr>
              <w:t>专兼职管理队伍不少于50人</w:t>
            </w:r>
            <w:r>
              <w:rPr>
                <w:rFonts w:hint="eastAsia" w:ascii="方正仿宋_GBK" w:hAnsi="方正仿宋_GBK" w:eastAsia="方正仿宋_GBK" w:cs="方正仿宋_GBK"/>
                <w:sz w:val="21"/>
                <w:szCs w:val="21"/>
                <w:vertAlign w:val="baseline"/>
                <w:lang w:val="en-US" w:eastAsia="zh-CN"/>
              </w:rPr>
              <w:t>，包括行政、教务、教学、系主任、班主任等管理人员。其中在编专职工作人员</w:t>
            </w:r>
            <w:r>
              <w:rPr>
                <w:rFonts w:hint="default" w:ascii="方正仿宋_GBK" w:hAnsi="方正仿宋_GBK" w:eastAsia="方正仿宋_GBK" w:cs="方正仿宋_GBK"/>
                <w:sz w:val="21"/>
                <w:szCs w:val="21"/>
                <w:vertAlign w:val="baseline"/>
                <w:lang w:val="en-US" w:eastAsia="zh-CN"/>
              </w:rPr>
              <w:t>20人及以上</w:t>
            </w:r>
            <w:r>
              <w:rPr>
                <w:rFonts w:hint="eastAsia" w:ascii="方正仿宋_GBK" w:hAnsi="方正仿宋_GBK" w:eastAsia="方正仿宋_GBK" w:cs="方正仿宋_GBK"/>
                <w:sz w:val="21"/>
                <w:szCs w:val="21"/>
                <w:vertAlign w:val="baseline"/>
                <w:lang w:val="en-US" w:eastAsia="zh-CN"/>
              </w:rPr>
              <w:t>。</w:t>
            </w:r>
          </w:p>
        </w:tc>
        <w:tc>
          <w:tcPr>
            <w:tcW w:w="2780" w:type="dxa"/>
            <w:vAlign w:val="center"/>
          </w:tcPr>
          <w:p w14:paraId="60857BE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方正仿宋_GBK" w:hAnsi="方正仿宋_GBK" w:eastAsia="方正仿宋_GBK" w:cs="方正仿宋_GBK"/>
                <w:sz w:val="21"/>
                <w:szCs w:val="21"/>
                <w:vertAlign w:val="baseline"/>
                <w:lang w:val="en-US" w:eastAsia="zh-CN"/>
              </w:rPr>
            </w:pPr>
            <w:r>
              <w:rPr>
                <w:rFonts w:hint="default" w:ascii="方正仿宋_GBK" w:hAnsi="方正仿宋_GBK" w:eastAsia="方正仿宋_GBK" w:cs="方正仿宋_GBK"/>
                <w:sz w:val="21"/>
                <w:szCs w:val="21"/>
                <w:vertAlign w:val="baseline"/>
                <w:lang w:val="en-US" w:eastAsia="zh-CN"/>
              </w:rPr>
              <w:t>专兼职管理队伍不少于20人，</w:t>
            </w:r>
            <w:r>
              <w:rPr>
                <w:rFonts w:hint="eastAsia" w:ascii="方正仿宋_GBK" w:hAnsi="方正仿宋_GBK" w:eastAsia="方正仿宋_GBK" w:cs="方正仿宋_GBK"/>
                <w:sz w:val="21"/>
                <w:szCs w:val="21"/>
                <w:vertAlign w:val="baseline"/>
                <w:lang w:val="en-US" w:eastAsia="zh-CN"/>
              </w:rPr>
              <w:t>包括行政、教务、教学、系主任、班主任等管理人员。其中在编专职工作人员</w:t>
            </w:r>
            <w:r>
              <w:rPr>
                <w:rFonts w:hint="default" w:ascii="方正仿宋_GBK" w:hAnsi="方正仿宋_GBK" w:eastAsia="方正仿宋_GBK" w:cs="方正仿宋_GBK"/>
                <w:sz w:val="21"/>
                <w:szCs w:val="21"/>
                <w:vertAlign w:val="baseline"/>
                <w:lang w:val="en-US" w:eastAsia="zh-CN"/>
              </w:rPr>
              <w:t>5</w:t>
            </w:r>
            <w:r>
              <w:rPr>
                <w:rFonts w:hint="eastAsia" w:ascii="方正仿宋_GBK" w:hAnsi="方正仿宋_GBK" w:eastAsia="方正仿宋_GBK" w:cs="方正仿宋_GBK"/>
                <w:sz w:val="21"/>
                <w:szCs w:val="21"/>
                <w:vertAlign w:val="baseline"/>
                <w:lang w:val="en-US" w:eastAsia="zh-CN"/>
              </w:rPr>
              <w:t>人</w:t>
            </w:r>
            <w:r>
              <w:rPr>
                <w:rFonts w:hint="default" w:ascii="方正仿宋_GBK" w:hAnsi="方正仿宋_GBK" w:eastAsia="方正仿宋_GBK" w:cs="方正仿宋_GBK"/>
                <w:sz w:val="21"/>
                <w:szCs w:val="21"/>
                <w:vertAlign w:val="baseline"/>
                <w:lang w:val="en-US" w:eastAsia="zh-CN"/>
              </w:rPr>
              <w:t>及以上</w:t>
            </w:r>
            <w:r>
              <w:rPr>
                <w:rFonts w:hint="eastAsia" w:ascii="方正仿宋_GBK" w:hAnsi="方正仿宋_GBK" w:eastAsia="方正仿宋_GBK" w:cs="方正仿宋_GBK"/>
                <w:sz w:val="21"/>
                <w:szCs w:val="21"/>
                <w:vertAlign w:val="baseline"/>
                <w:lang w:val="en-US" w:eastAsia="zh-CN"/>
              </w:rPr>
              <w:t>。</w:t>
            </w:r>
          </w:p>
        </w:tc>
        <w:tc>
          <w:tcPr>
            <w:tcW w:w="2890" w:type="dxa"/>
            <w:vAlign w:val="center"/>
          </w:tcPr>
          <w:p w14:paraId="063926E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方正仿宋_GBK" w:hAnsi="方正仿宋_GBK" w:eastAsia="方正仿宋_GBK" w:cs="方正仿宋_GBK"/>
                <w:sz w:val="21"/>
                <w:szCs w:val="21"/>
                <w:vertAlign w:val="baseline"/>
                <w:lang w:val="en-US" w:eastAsia="zh-CN"/>
              </w:rPr>
            </w:pPr>
            <w:r>
              <w:rPr>
                <w:rFonts w:hint="default" w:ascii="方正仿宋_GBK" w:hAnsi="方正仿宋_GBK" w:eastAsia="方正仿宋_GBK" w:cs="方正仿宋_GBK"/>
                <w:sz w:val="21"/>
                <w:szCs w:val="21"/>
                <w:vertAlign w:val="baseline"/>
                <w:lang w:val="en-US" w:eastAsia="zh-CN"/>
              </w:rPr>
              <w:t>专兼职管理队伍不少于5人</w:t>
            </w:r>
            <w:r>
              <w:rPr>
                <w:rFonts w:hint="eastAsia" w:ascii="方正仿宋_GBK" w:hAnsi="方正仿宋_GBK" w:eastAsia="方正仿宋_GBK" w:cs="方正仿宋_GBK"/>
                <w:sz w:val="21"/>
                <w:szCs w:val="21"/>
                <w:vertAlign w:val="baseline"/>
                <w:lang w:val="en-US" w:eastAsia="zh-CN"/>
              </w:rPr>
              <w:t>，包括行政、教务、教学、系主任、班主任等管理人员。其中在编专职工作人员3人</w:t>
            </w:r>
            <w:r>
              <w:rPr>
                <w:rFonts w:hint="default" w:ascii="方正仿宋_GBK" w:hAnsi="方正仿宋_GBK" w:eastAsia="方正仿宋_GBK" w:cs="方正仿宋_GBK"/>
                <w:sz w:val="21"/>
                <w:szCs w:val="21"/>
                <w:vertAlign w:val="baseline"/>
                <w:lang w:val="en-US" w:eastAsia="zh-CN"/>
              </w:rPr>
              <w:t>及以上</w:t>
            </w:r>
            <w:r>
              <w:rPr>
                <w:rFonts w:hint="eastAsia" w:ascii="方正仿宋_GBK" w:hAnsi="方正仿宋_GBK" w:eastAsia="方正仿宋_GBK" w:cs="方正仿宋_GBK"/>
                <w:sz w:val="21"/>
                <w:szCs w:val="21"/>
                <w:vertAlign w:val="baseline"/>
                <w:lang w:val="en-US" w:eastAsia="zh-CN"/>
              </w:rPr>
              <w:t>。</w:t>
            </w:r>
          </w:p>
        </w:tc>
        <w:tc>
          <w:tcPr>
            <w:tcW w:w="2700" w:type="dxa"/>
            <w:vAlign w:val="center"/>
          </w:tcPr>
          <w:p w14:paraId="4924FF7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设校长、常务副校长各1人，</w:t>
            </w:r>
            <w:r>
              <w:rPr>
                <w:rFonts w:hint="default" w:ascii="方正仿宋_GBK" w:hAnsi="方正仿宋_GBK" w:eastAsia="方正仿宋_GBK" w:cs="方正仿宋_GBK"/>
                <w:sz w:val="21"/>
                <w:szCs w:val="21"/>
                <w:vertAlign w:val="baseline"/>
                <w:lang w:val="en-US" w:eastAsia="zh-CN"/>
              </w:rPr>
              <w:t>兼职</w:t>
            </w:r>
            <w:r>
              <w:rPr>
                <w:rFonts w:hint="eastAsia" w:ascii="方正仿宋_GBK" w:hAnsi="方正仿宋_GBK" w:eastAsia="方正仿宋_GBK" w:cs="方正仿宋_GBK"/>
                <w:sz w:val="21"/>
                <w:szCs w:val="21"/>
                <w:vertAlign w:val="baseline"/>
                <w:lang w:val="en-US" w:eastAsia="zh-CN"/>
              </w:rPr>
              <w:t>工作人员1至2</w:t>
            </w:r>
            <w:r>
              <w:rPr>
                <w:rFonts w:hint="default" w:ascii="方正仿宋_GBK" w:hAnsi="方正仿宋_GBK" w:eastAsia="方正仿宋_GBK" w:cs="方正仿宋_GBK"/>
                <w:sz w:val="21"/>
                <w:szCs w:val="21"/>
                <w:vertAlign w:val="baseline"/>
                <w:lang w:val="en-US" w:eastAsia="zh-CN"/>
              </w:rPr>
              <w:t>人</w:t>
            </w:r>
            <w:r>
              <w:rPr>
                <w:rFonts w:hint="eastAsia" w:ascii="方正仿宋_GBK" w:hAnsi="方正仿宋_GBK" w:eastAsia="方正仿宋_GBK" w:cs="方正仿宋_GBK"/>
                <w:sz w:val="21"/>
                <w:szCs w:val="21"/>
                <w:vertAlign w:val="baseline"/>
                <w:lang w:val="en-US" w:eastAsia="zh-CN"/>
              </w:rPr>
              <w:t>。</w:t>
            </w:r>
          </w:p>
        </w:tc>
      </w:tr>
      <w:tr w14:paraId="2EFD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840" w:type="dxa"/>
            <w:vMerge w:val="continue"/>
            <w:vAlign w:val="top"/>
          </w:tcPr>
          <w:p w14:paraId="72B4D82C">
            <w:pPr>
              <w:numPr>
                <w:ilvl w:val="0"/>
                <w:numId w:val="0"/>
              </w:numPr>
              <w:jc w:val="center"/>
              <w:rPr>
                <w:rFonts w:hint="default" w:ascii="方正仿宋_GBK" w:hAnsi="方正仿宋_GBK" w:eastAsia="方正仿宋_GBK" w:cs="方正仿宋_GBK"/>
                <w:sz w:val="30"/>
                <w:szCs w:val="30"/>
                <w:vertAlign w:val="baseline"/>
                <w:lang w:val="en-US" w:eastAsia="zh-CN"/>
              </w:rPr>
            </w:pPr>
          </w:p>
        </w:tc>
        <w:tc>
          <w:tcPr>
            <w:tcW w:w="950" w:type="dxa"/>
            <w:vMerge w:val="continue"/>
            <w:vAlign w:val="center"/>
          </w:tcPr>
          <w:p w14:paraId="11B9B4B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b/>
                <w:bCs/>
                <w:color w:val="000000"/>
                <w:spacing w:val="0"/>
                <w:w w:val="100"/>
                <w:position w:val="0"/>
                <w:sz w:val="24"/>
                <w:szCs w:val="24"/>
                <w:lang w:val="en-US" w:eastAsia="zh-CN"/>
              </w:rPr>
            </w:pPr>
          </w:p>
        </w:tc>
        <w:tc>
          <w:tcPr>
            <w:tcW w:w="2130" w:type="dxa"/>
            <w:vMerge w:val="continue"/>
          </w:tcPr>
          <w:p w14:paraId="3198C2C4">
            <w:pPr>
              <w:numPr>
                <w:ilvl w:val="0"/>
                <w:numId w:val="0"/>
              </w:numPr>
              <w:rPr>
                <w:rFonts w:hint="default" w:ascii="方正仿宋_GBK" w:hAnsi="方正仿宋_GBK" w:eastAsia="方正仿宋_GBK" w:cs="方正仿宋_GBK"/>
                <w:sz w:val="21"/>
                <w:szCs w:val="21"/>
                <w:vertAlign w:val="baseline"/>
                <w:lang w:val="en-US" w:eastAsia="zh-CN"/>
              </w:rPr>
            </w:pPr>
          </w:p>
        </w:tc>
        <w:tc>
          <w:tcPr>
            <w:tcW w:w="800" w:type="dxa"/>
            <w:vAlign w:val="center"/>
          </w:tcPr>
          <w:p w14:paraId="58DC9E22">
            <w:pPr>
              <w:numPr>
                <w:ilvl w:val="0"/>
                <w:numId w:val="0"/>
              </w:numPr>
              <w:ind w:left="0" w:leftChars="0" w:firstLine="0" w:firstLineChars="0"/>
              <w:jc w:val="center"/>
              <w:rPr>
                <w:rFonts w:hint="eastAsia" w:ascii="方正仿宋_GBK" w:hAnsi="方正仿宋_GBK" w:eastAsia="方正仿宋_GBK" w:cs="方正仿宋_GBK"/>
                <w:b/>
                <w:bCs/>
                <w:color w:val="000000"/>
                <w:spacing w:val="0"/>
                <w:w w:val="100"/>
                <w:position w:val="0"/>
                <w:sz w:val="21"/>
                <w:szCs w:val="21"/>
              </w:rPr>
            </w:pPr>
            <w:r>
              <w:rPr>
                <w:rFonts w:hint="eastAsia" w:ascii="方正仿宋_GBK" w:hAnsi="方正仿宋_GBK" w:eastAsia="方正仿宋_GBK" w:cs="方正仿宋_GBK"/>
                <w:b/>
                <w:bCs/>
                <w:color w:val="000000"/>
                <w:spacing w:val="0"/>
                <w:w w:val="100"/>
                <w:position w:val="0"/>
                <w:sz w:val="21"/>
                <w:szCs w:val="21"/>
              </w:rPr>
              <w:t>职责与</w:t>
            </w:r>
          </w:p>
          <w:p w14:paraId="6A6FF538">
            <w:pPr>
              <w:numPr>
                <w:ilvl w:val="0"/>
                <w:numId w:val="0"/>
              </w:numPr>
              <w:ind w:left="0" w:leftChars="0" w:firstLine="0" w:firstLineChars="0"/>
              <w:jc w:val="center"/>
              <w:rPr>
                <w:rFonts w:hint="eastAsia" w:ascii="方正仿宋_GBK" w:hAnsi="方正仿宋_GBK" w:eastAsia="方正仿宋_GBK" w:cs="方正仿宋_GBK"/>
                <w:b/>
                <w:bCs/>
                <w:color w:val="000000"/>
                <w:spacing w:val="0"/>
                <w:w w:val="100"/>
                <w:position w:val="0"/>
                <w:sz w:val="21"/>
                <w:szCs w:val="21"/>
                <w:lang w:val="en-US" w:eastAsia="zh-CN"/>
              </w:rPr>
            </w:pPr>
            <w:r>
              <w:rPr>
                <w:rFonts w:hint="eastAsia" w:ascii="方正仿宋_GBK" w:hAnsi="方正仿宋_GBK" w:eastAsia="方正仿宋_GBK" w:cs="方正仿宋_GBK"/>
                <w:b/>
                <w:bCs/>
                <w:color w:val="000000"/>
                <w:spacing w:val="0"/>
                <w:w w:val="100"/>
                <w:position w:val="0"/>
                <w:sz w:val="21"/>
                <w:szCs w:val="21"/>
              </w:rPr>
              <w:t>考核</w:t>
            </w:r>
          </w:p>
        </w:tc>
        <w:tc>
          <w:tcPr>
            <w:tcW w:w="2890" w:type="dxa"/>
            <w:vAlign w:val="center"/>
          </w:tcPr>
          <w:p w14:paraId="1214B27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8.管理人员职责明确、考核规范、奖惩公开公正。</w:t>
            </w:r>
          </w:p>
        </w:tc>
        <w:tc>
          <w:tcPr>
            <w:tcW w:w="2780" w:type="dxa"/>
            <w:vAlign w:val="center"/>
          </w:tcPr>
          <w:p w14:paraId="6696D28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管理人员职责明确、考核规范、奖惩公开公正。</w:t>
            </w:r>
          </w:p>
        </w:tc>
        <w:tc>
          <w:tcPr>
            <w:tcW w:w="2890" w:type="dxa"/>
            <w:vAlign w:val="center"/>
          </w:tcPr>
          <w:p w14:paraId="21C2AB8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管理人员职责明确、考核规范、奖惩公开公正。</w:t>
            </w:r>
          </w:p>
        </w:tc>
        <w:tc>
          <w:tcPr>
            <w:tcW w:w="2700" w:type="dxa"/>
            <w:vAlign w:val="center"/>
          </w:tcPr>
          <w:p w14:paraId="5F4D6B4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管理人员职责明确、考核规范、奖惩公开公正。</w:t>
            </w:r>
          </w:p>
        </w:tc>
      </w:tr>
      <w:tr w14:paraId="4641D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840" w:type="dxa"/>
            <w:vMerge w:val="continue"/>
            <w:vAlign w:val="top"/>
          </w:tcPr>
          <w:p w14:paraId="59DDDB6A">
            <w:pPr>
              <w:numPr>
                <w:ilvl w:val="0"/>
                <w:numId w:val="0"/>
              </w:numPr>
              <w:jc w:val="center"/>
              <w:rPr>
                <w:rFonts w:hint="default" w:ascii="方正仿宋_GBK" w:hAnsi="方正仿宋_GBK" w:eastAsia="方正仿宋_GBK" w:cs="方正仿宋_GBK"/>
                <w:sz w:val="30"/>
                <w:szCs w:val="30"/>
                <w:vertAlign w:val="baseline"/>
                <w:lang w:val="en-US" w:eastAsia="zh-CN"/>
              </w:rPr>
            </w:pPr>
          </w:p>
        </w:tc>
        <w:tc>
          <w:tcPr>
            <w:tcW w:w="950" w:type="dxa"/>
            <w:vMerge w:val="continue"/>
            <w:vAlign w:val="center"/>
          </w:tcPr>
          <w:p w14:paraId="1B0E02B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b/>
                <w:bCs/>
                <w:color w:val="000000"/>
                <w:spacing w:val="0"/>
                <w:w w:val="100"/>
                <w:position w:val="0"/>
                <w:sz w:val="24"/>
                <w:szCs w:val="24"/>
                <w:lang w:val="en-US" w:eastAsia="zh-CN"/>
              </w:rPr>
            </w:pPr>
          </w:p>
        </w:tc>
        <w:tc>
          <w:tcPr>
            <w:tcW w:w="2130" w:type="dxa"/>
            <w:vMerge w:val="continue"/>
          </w:tcPr>
          <w:p w14:paraId="0A4ED904">
            <w:pPr>
              <w:numPr>
                <w:ilvl w:val="0"/>
                <w:numId w:val="0"/>
              </w:numPr>
              <w:rPr>
                <w:rFonts w:hint="default" w:ascii="方正仿宋_GBK" w:hAnsi="方正仿宋_GBK" w:eastAsia="方正仿宋_GBK" w:cs="方正仿宋_GBK"/>
                <w:sz w:val="21"/>
                <w:szCs w:val="21"/>
                <w:vertAlign w:val="baseline"/>
                <w:lang w:val="en-US" w:eastAsia="zh-CN"/>
              </w:rPr>
            </w:pPr>
          </w:p>
        </w:tc>
        <w:tc>
          <w:tcPr>
            <w:tcW w:w="800" w:type="dxa"/>
            <w:vAlign w:val="center"/>
          </w:tcPr>
          <w:p w14:paraId="0EFABD3E">
            <w:pPr>
              <w:numPr>
                <w:ilvl w:val="0"/>
                <w:numId w:val="0"/>
              </w:numPr>
              <w:ind w:left="0" w:leftChars="0" w:firstLine="0" w:firstLineChars="0"/>
              <w:jc w:val="center"/>
              <w:rPr>
                <w:rFonts w:hint="eastAsia" w:ascii="方正仿宋_GBK" w:hAnsi="方正仿宋_GBK" w:eastAsia="方正仿宋_GBK" w:cs="方正仿宋_GBK"/>
                <w:b/>
                <w:bCs/>
                <w:color w:val="000000"/>
                <w:spacing w:val="0"/>
                <w:w w:val="100"/>
                <w:position w:val="0"/>
                <w:sz w:val="21"/>
                <w:szCs w:val="21"/>
                <w:lang w:val="en-US" w:eastAsia="zh-CN"/>
              </w:rPr>
            </w:pPr>
            <w:r>
              <w:rPr>
                <w:rFonts w:hint="eastAsia" w:ascii="方正仿宋_GBK" w:hAnsi="方正仿宋_GBK" w:eastAsia="方正仿宋_GBK" w:cs="方正仿宋_GBK"/>
                <w:b/>
                <w:bCs/>
                <w:color w:val="000000"/>
                <w:spacing w:val="0"/>
                <w:w w:val="100"/>
                <w:position w:val="0"/>
                <w:sz w:val="21"/>
                <w:szCs w:val="21"/>
              </w:rPr>
              <w:t>教育培训</w:t>
            </w:r>
          </w:p>
        </w:tc>
        <w:tc>
          <w:tcPr>
            <w:tcW w:w="2890" w:type="dxa"/>
            <w:vAlign w:val="center"/>
          </w:tcPr>
          <w:p w14:paraId="0706B087">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9.教育培训制度健全。定期组织工作人员集中业务学习培训，其中30%参加省培。</w:t>
            </w:r>
          </w:p>
        </w:tc>
        <w:tc>
          <w:tcPr>
            <w:tcW w:w="2780" w:type="dxa"/>
            <w:vAlign w:val="center"/>
          </w:tcPr>
          <w:p w14:paraId="7A085CFF">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教育培训制度健全。定期组织工作人员集中业务学习培训，其中20%参加省培。</w:t>
            </w:r>
          </w:p>
        </w:tc>
        <w:tc>
          <w:tcPr>
            <w:tcW w:w="2890" w:type="dxa"/>
            <w:vAlign w:val="center"/>
          </w:tcPr>
          <w:p w14:paraId="0B74FD02">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教育培训制度健全。定期组织工作人员集中业务学习培训，其中10%参加省培。</w:t>
            </w:r>
          </w:p>
        </w:tc>
        <w:tc>
          <w:tcPr>
            <w:tcW w:w="2700" w:type="dxa"/>
            <w:vAlign w:val="center"/>
          </w:tcPr>
          <w:p w14:paraId="333E8FF6">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定期组织工作人员集中业务学习培训。</w:t>
            </w:r>
          </w:p>
        </w:tc>
      </w:tr>
      <w:tr w14:paraId="37AF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840" w:type="dxa"/>
            <w:vMerge w:val="continue"/>
            <w:vAlign w:val="top"/>
          </w:tcPr>
          <w:p w14:paraId="5FE717E2">
            <w:pPr>
              <w:numPr>
                <w:ilvl w:val="0"/>
                <w:numId w:val="0"/>
              </w:numPr>
              <w:jc w:val="center"/>
              <w:rPr>
                <w:rFonts w:hint="default" w:ascii="方正仿宋_GBK" w:hAnsi="方正仿宋_GBK" w:eastAsia="方正仿宋_GBK" w:cs="方正仿宋_GBK"/>
                <w:sz w:val="30"/>
                <w:szCs w:val="30"/>
                <w:vertAlign w:val="baseline"/>
                <w:lang w:val="en-US" w:eastAsia="zh-CN"/>
              </w:rPr>
            </w:pPr>
          </w:p>
        </w:tc>
        <w:tc>
          <w:tcPr>
            <w:tcW w:w="950" w:type="dxa"/>
            <w:vMerge w:val="continue"/>
            <w:vAlign w:val="center"/>
          </w:tcPr>
          <w:p w14:paraId="373DCF8F">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b/>
                <w:bCs/>
                <w:color w:val="000000"/>
                <w:spacing w:val="0"/>
                <w:w w:val="100"/>
                <w:position w:val="0"/>
                <w:sz w:val="24"/>
                <w:szCs w:val="24"/>
                <w:lang w:val="en-US" w:eastAsia="zh-CN"/>
              </w:rPr>
            </w:pPr>
          </w:p>
        </w:tc>
        <w:tc>
          <w:tcPr>
            <w:tcW w:w="2130" w:type="dxa"/>
            <w:vMerge w:val="continue"/>
          </w:tcPr>
          <w:p w14:paraId="6A11BE1C">
            <w:pPr>
              <w:numPr>
                <w:ilvl w:val="0"/>
                <w:numId w:val="0"/>
              </w:numPr>
              <w:rPr>
                <w:rFonts w:hint="default" w:ascii="方正仿宋_GBK" w:hAnsi="方正仿宋_GBK" w:eastAsia="方正仿宋_GBK" w:cs="方正仿宋_GBK"/>
                <w:sz w:val="21"/>
                <w:szCs w:val="21"/>
                <w:vertAlign w:val="baseline"/>
                <w:lang w:val="en-US" w:eastAsia="zh-CN"/>
              </w:rPr>
            </w:pPr>
          </w:p>
        </w:tc>
        <w:tc>
          <w:tcPr>
            <w:tcW w:w="800" w:type="dxa"/>
            <w:vAlign w:val="center"/>
          </w:tcPr>
          <w:p w14:paraId="0FEA2CB4">
            <w:pPr>
              <w:numPr>
                <w:ilvl w:val="0"/>
                <w:numId w:val="0"/>
              </w:numPr>
              <w:ind w:left="0" w:leftChars="0" w:firstLine="0" w:firstLineChars="0"/>
              <w:jc w:val="center"/>
              <w:rPr>
                <w:rFonts w:hint="eastAsia" w:ascii="方正仿宋_GBK" w:hAnsi="方正仿宋_GBK" w:eastAsia="方正仿宋_GBK" w:cs="方正仿宋_GBK"/>
                <w:b/>
                <w:bCs/>
                <w:color w:val="000000"/>
                <w:spacing w:val="0"/>
                <w:w w:val="100"/>
                <w:position w:val="0"/>
                <w:sz w:val="21"/>
                <w:szCs w:val="21"/>
                <w:lang w:val="en-US" w:eastAsia="zh-CN"/>
              </w:rPr>
            </w:pPr>
            <w:r>
              <w:rPr>
                <w:rFonts w:hint="eastAsia" w:ascii="方正仿宋_GBK" w:hAnsi="方正仿宋_GBK" w:eastAsia="方正仿宋_GBK" w:cs="方正仿宋_GBK"/>
                <w:b/>
                <w:bCs/>
                <w:color w:val="000000"/>
                <w:spacing w:val="0"/>
                <w:w w:val="100"/>
                <w:position w:val="0"/>
                <w:sz w:val="21"/>
                <w:szCs w:val="21"/>
                <w:lang w:eastAsia="zh-CN"/>
              </w:rPr>
              <w:t>办公管理</w:t>
            </w:r>
          </w:p>
        </w:tc>
        <w:tc>
          <w:tcPr>
            <w:tcW w:w="2890" w:type="dxa"/>
            <w:vAlign w:val="center"/>
          </w:tcPr>
          <w:p w14:paraId="7B6438D0">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10.办公秩序井然有序，办公系统智能化。有档案室和规范的档案管理系统及制度，涉密文件专人专柜存储。</w:t>
            </w:r>
          </w:p>
        </w:tc>
        <w:tc>
          <w:tcPr>
            <w:tcW w:w="2780" w:type="dxa"/>
            <w:vAlign w:val="center"/>
          </w:tcPr>
          <w:p w14:paraId="693DE141">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办公秩序井然有序，办公系统智能化。有档案室和规范的档案管理系统及制度，涉密文件专人专柜存储。</w:t>
            </w:r>
          </w:p>
        </w:tc>
        <w:tc>
          <w:tcPr>
            <w:tcW w:w="2890" w:type="dxa"/>
            <w:vAlign w:val="center"/>
          </w:tcPr>
          <w:p w14:paraId="29A73257">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办公秩序井然有序，办公系统智能化。有档案室和规范的档案管理系统及制度，文件资料归档备案完整规范。</w:t>
            </w:r>
          </w:p>
        </w:tc>
        <w:tc>
          <w:tcPr>
            <w:tcW w:w="2700" w:type="dxa"/>
            <w:vAlign w:val="center"/>
          </w:tcPr>
          <w:p w14:paraId="04040684">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办公系统智能化，有完整、规范的档案管理系统及制度。</w:t>
            </w:r>
          </w:p>
        </w:tc>
      </w:tr>
      <w:tr w14:paraId="5EB1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840" w:type="dxa"/>
            <w:vMerge w:val="continue"/>
            <w:vAlign w:val="top"/>
          </w:tcPr>
          <w:p w14:paraId="314CC3AA">
            <w:pPr>
              <w:numPr>
                <w:ilvl w:val="0"/>
                <w:numId w:val="0"/>
              </w:numPr>
              <w:jc w:val="center"/>
              <w:rPr>
                <w:rFonts w:hint="default" w:ascii="方正仿宋_GBK" w:hAnsi="方正仿宋_GBK" w:eastAsia="方正仿宋_GBK" w:cs="方正仿宋_GBK"/>
                <w:sz w:val="30"/>
                <w:szCs w:val="30"/>
                <w:vertAlign w:val="baseline"/>
                <w:lang w:val="en-US" w:eastAsia="zh-CN"/>
              </w:rPr>
            </w:pPr>
          </w:p>
        </w:tc>
        <w:tc>
          <w:tcPr>
            <w:tcW w:w="950" w:type="dxa"/>
            <w:vMerge w:val="restart"/>
            <w:vAlign w:val="center"/>
          </w:tcPr>
          <w:p w14:paraId="660A3C4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color w:val="000000"/>
                <w:spacing w:val="0"/>
                <w:w w:val="100"/>
                <w:position w:val="0"/>
                <w:sz w:val="24"/>
                <w:szCs w:val="24"/>
                <w:lang w:eastAsia="zh-CN"/>
              </w:rPr>
            </w:pPr>
            <w:r>
              <w:rPr>
                <w:rFonts w:hint="eastAsia" w:ascii="方正仿宋_GBK" w:hAnsi="方正仿宋_GBK" w:eastAsia="方正仿宋_GBK" w:cs="方正仿宋_GBK"/>
                <w:b/>
                <w:bCs/>
                <w:color w:val="000000"/>
                <w:spacing w:val="0"/>
                <w:w w:val="100"/>
                <w:position w:val="0"/>
                <w:sz w:val="24"/>
                <w:szCs w:val="24"/>
                <w:lang w:eastAsia="zh-CN"/>
              </w:rPr>
              <w:t>后勤</w:t>
            </w:r>
          </w:p>
          <w:p w14:paraId="2B9B3A4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b/>
                <w:bCs/>
                <w:color w:val="000000"/>
                <w:spacing w:val="0"/>
                <w:w w:val="100"/>
                <w:position w:val="0"/>
                <w:sz w:val="24"/>
                <w:szCs w:val="24"/>
                <w:lang w:val="en-US" w:eastAsia="zh-CN"/>
              </w:rPr>
            </w:pPr>
            <w:r>
              <w:rPr>
                <w:rFonts w:hint="eastAsia" w:ascii="方正仿宋_GBK" w:hAnsi="方正仿宋_GBK" w:eastAsia="方正仿宋_GBK" w:cs="方正仿宋_GBK"/>
                <w:b/>
                <w:bCs/>
                <w:color w:val="000000"/>
                <w:spacing w:val="0"/>
                <w:w w:val="100"/>
                <w:position w:val="0"/>
                <w:sz w:val="24"/>
                <w:szCs w:val="24"/>
                <w:lang w:eastAsia="zh-CN"/>
              </w:rPr>
              <w:t>保障</w:t>
            </w:r>
          </w:p>
        </w:tc>
        <w:tc>
          <w:tcPr>
            <w:tcW w:w="2130" w:type="dxa"/>
            <w:vMerge w:val="restart"/>
            <w:vAlign w:val="center"/>
          </w:tcPr>
          <w:p w14:paraId="472F76F5">
            <w:pPr>
              <w:numPr>
                <w:ilvl w:val="0"/>
                <w:numId w:val="0"/>
              </w:numPr>
              <w:jc w:val="both"/>
              <w:rPr>
                <w:rFonts w:hint="default" w:ascii="方正仿宋_GBK" w:hAnsi="方正仿宋_GBK" w:cs="方正仿宋_GBK" w:eastAsiaTheme="minorEastAsia"/>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办事流程规范、有序、便捷，校园环境干净整洁，教学物资保质保量，设施设备维修及时，保障教学活动正常运行。</w:t>
            </w:r>
          </w:p>
        </w:tc>
        <w:tc>
          <w:tcPr>
            <w:tcW w:w="800" w:type="dxa"/>
            <w:vAlign w:val="center"/>
          </w:tcPr>
          <w:p w14:paraId="6329E87B">
            <w:pPr>
              <w:numPr>
                <w:ilvl w:val="0"/>
                <w:numId w:val="0"/>
              </w:numPr>
              <w:ind w:left="0" w:leftChars="0" w:firstLine="0" w:firstLineChars="0"/>
              <w:jc w:val="center"/>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b/>
                <w:bCs/>
                <w:color w:val="000000"/>
                <w:spacing w:val="0"/>
                <w:w w:val="100"/>
                <w:position w:val="0"/>
                <w:sz w:val="21"/>
                <w:szCs w:val="21"/>
                <w:lang w:eastAsia="zh-CN"/>
              </w:rPr>
              <w:t>财务管理</w:t>
            </w:r>
          </w:p>
        </w:tc>
        <w:tc>
          <w:tcPr>
            <w:tcW w:w="2890" w:type="dxa"/>
            <w:vAlign w:val="center"/>
          </w:tcPr>
          <w:p w14:paraId="1C58BB51">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11.财务人员应当具有国家会计类专业技术职称证书。经费审批、使用、核算、决算和报销等流程规范，账目清晰，资产管理台账清晰规范，购买、使用、报废等环节简捷规范。</w:t>
            </w:r>
          </w:p>
        </w:tc>
        <w:tc>
          <w:tcPr>
            <w:tcW w:w="2780" w:type="dxa"/>
            <w:vAlign w:val="center"/>
          </w:tcPr>
          <w:p w14:paraId="52B94EF7">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财务应当具有国家会计类专业技术职称证书。经费审批、使用、核算、决算和报销等流程规范，账目清晰，资产管理台账清晰规范，购买、使用、报废等环节简捷规范。</w:t>
            </w:r>
          </w:p>
        </w:tc>
        <w:tc>
          <w:tcPr>
            <w:tcW w:w="2890" w:type="dxa"/>
            <w:vAlign w:val="center"/>
          </w:tcPr>
          <w:p w14:paraId="2CCD1AEC">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财务应当具有国家会计类专业技术职称证书。经费审批、使用、核算、决算和报销等流程以及资产管理清晰规范。</w:t>
            </w:r>
          </w:p>
        </w:tc>
        <w:tc>
          <w:tcPr>
            <w:tcW w:w="2700" w:type="dxa"/>
            <w:vAlign w:val="center"/>
          </w:tcPr>
          <w:p w14:paraId="175F2D8F">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财务人员具备专业知识、业务熟练；经费审批、使用、报销等程序规范。</w:t>
            </w:r>
          </w:p>
        </w:tc>
      </w:tr>
      <w:tr w14:paraId="6C2BA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vAlign w:val="top"/>
          </w:tcPr>
          <w:p w14:paraId="25EEB2EF">
            <w:pPr>
              <w:numPr>
                <w:ilvl w:val="0"/>
                <w:numId w:val="0"/>
              </w:numPr>
              <w:jc w:val="center"/>
              <w:rPr>
                <w:rFonts w:hint="default" w:ascii="方正仿宋_GBK" w:hAnsi="方正仿宋_GBK" w:eastAsia="方正仿宋_GBK" w:cs="方正仿宋_GBK"/>
                <w:sz w:val="30"/>
                <w:szCs w:val="30"/>
                <w:vertAlign w:val="baseline"/>
                <w:lang w:val="en-US" w:eastAsia="zh-CN"/>
              </w:rPr>
            </w:pPr>
          </w:p>
        </w:tc>
        <w:tc>
          <w:tcPr>
            <w:tcW w:w="950" w:type="dxa"/>
            <w:vMerge w:val="continue"/>
          </w:tcPr>
          <w:p w14:paraId="1BBBE9BA">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ascii="方正仿宋_GBK" w:hAnsi="方正仿宋_GBK" w:eastAsia="方正仿宋_GBK" w:cs="方正仿宋_GBK"/>
                <w:sz w:val="24"/>
                <w:szCs w:val="24"/>
                <w:vertAlign w:val="baseline"/>
                <w:lang w:val="en-US" w:eastAsia="zh-CN"/>
              </w:rPr>
            </w:pPr>
          </w:p>
        </w:tc>
        <w:tc>
          <w:tcPr>
            <w:tcW w:w="2130" w:type="dxa"/>
            <w:vMerge w:val="continue"/>
          </w:tcPr>
          <w:p w14:paraId="3A926070">
            <w:pPr>
              <w:numPr>
                <w:ilvl w:val="0"/>
                <w:numId w:val="0"/>
              </w:numPr>
              <w:ind w:firstLine="1050" w:firstLineChars="500"/>
              <w:rPr>
                <w:rFonts w:hint="eastAsia" w:ascii="方正仿宋_GBK" w:hAnsi="方正仿宋_GBK" w:eastAsia="方正仿宋_GBK" w:cs="方正仿宋_GBK"/>
                <w:sz w:val="21"/>
                <w:szCs w:val="21"/>
                <w:vertAlign w:val="baseline"/>
                <w:lang w:val="en-US" w:eastAsia="zh-CN"/>
              </w:rPr>
            </w:pPr>
          </w:p>
        </w:tc>
        <w:tc>
          <w:tcPr>
            <w:tcW w:w="800" w:type="dxa"/>
            <w:vAlign w:val="center"/>
          </w:tcPr>
          <w:p w14:paraId="60A9A240">
            <w:pPr>
              <w:numPr>
                <w:ilvl w:val="0"/>
                <w:numId w:val="0"/>
              </w:numPr>
              <w:ind w:left="0" w:leftChars="0" w:firstLine="0" w:firstLineChars="0"/>
              <w:jc w:val="center"/>
              <w:rPr>
                <w:rFonts w:hint="eastAsia" w:ascii="方正仿宋_GBK" w:hAnsi="方正仿宋_GBK" w:eastAsia="方正仿宋_GBK" w:cs="方正仿宋_GBK"/>
                <w:b/>
                <w:bCs/>
                <w:color w:val="000000"/>
                <w:spacing w:val="0"/>
                <w:w w:val="100"/>
                <w:position w:val="0"/>
                <w:sz w:val="21"/>
                <w:szCs w:val="21"/>
                <w:lang w:eastAsia="zh-CN"/>
              </w:rPr>
            </w:pPr>
            <w:r>
              <w:rPr>
                <w:rFonts w:hint="eastAsia" w:ascii="方正仿宋_GBK" w:hAnsi="方正仿宋_GBK" w:eastAsia="方正仿宋_GBK" w:cs="方正仿宋_GBK"/>
                <w:b/>
                <w:bCs/>
                <w:color w:val="000000"/>
                <w:spacing w:val="0"/>
                <w:w w:val="100"/>
                <w:position w:val="0"/>
                <w:sz w:val="21"/>
                <w:szCs w:val="21"/>
                <w:lang w:val="en-US" w:eastAsia="zh-CN"/>
              </w:rPr>
              <w:t>应急</w:t>
            </w:r>
            <w:r>
              <w:rPr>
                <w:rFonts w:hint="eastAsia" w:ascii="方正仿宋_GBK" w:hAnsi="方正仿宋_GBK" w:eastAsia="方正仿宋_GBK" w:cs="方正仿宋_GBK"/>
                <w:b/>
                <w:bCs/>
                <w:color w:val="000000"/>
                <w:spacing w:val="0"/>
                <w:w w:val="100"/>
                <w:position w:val="0"/>
                <w:sz w:val="21"/>
                <w:szCs w:val="21"/>
                <w:lang w:eastAsia="zh-CN"/>
              </w:rPr>
              <w:t>管理</w:t>
            </w:r>
          </w:p>
        </w:tc>
        <w:tc>
          <w:tcPr>
            <w:tcW w:w="2890" w:type="dxa"/>
            <w:vAlign w:val="center"/>
          </w:tcPr>
          <w:p w14:paraId="1C3EDB80">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12.校园安保、消防设施设备齐全，突发情况有经过演练检验的预案，措施到位、责任到人，安全警示和宣传标语醒目。</w:t>
            </w:r>
          </w:p>
        </w:tc>
        <w:tc>
          <w:tcPr>
            <w:tcW w:w="2780" w:type="dxa"/>
            <w:vAlign w:val="center"/>
          </w:tcPr>
          <w:p w14:paraId="42DEB638">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校园安保、消防设施设备齐全，突发情况有经过演练检验的预案，措施到位、责任到人，安全警示和宣传标语醒目。</w:t>
            </w:r>
          </w:p>
        </w:tc>
        <w:tc>
          <w:tcPr>
            <w:tcW w:w="2890" w:type="dxa"/>
            <w:vAlign w:val="center"/>
          </w:tcPr>
          <w:p w14:paraId="06AF2C47">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校园安保、消防设施设备齐全，突发情况有经过演练检验的预案，措施到位、责任到人，安全警示和宣传标语醒目。</w:t>
            </w:r>
          </w:p>
        </w:tc>
        <w:tc>
          <w:tcPr>
            <w:tcW w:w="2700" w:type="dxa"/>
            <w:vAlign w:val="center"/>
          </w:tcPr>
          <w:p w14:paraId="4E0F7168">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校园安保、消防设施设备齐全，突发情况有经过演练检验的预案，安全警示和宣传标语醒目。</w:t>
            </w:r>
          </w:p>
        </w:tc>
      </w:tr>
      <w:tr w14:paraId="2098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vAlign w:val="top"/>
          </w:tcPr>
          <w:p w14:paraId="66229DED">
            <w:pPr>
              <w:numPr>
                <w:ilvl w:val="0"/>
                <w:numId w:val="0"/>
              </w:numPr>
              <w:jc w:val="center"/>
              <w:rPr>
                <w:rFonts w:hint="default" w:ascii="方正仿宋_GBK" w:hAnsi="方正仿宋_GBK" w:eastAsia="方正仿宋_GBK" w:cs="方正仿宋_GBK"/>
                <w:sz w:val="30"/>
                <w:szCs w:val="30"/>
                <w:vertAlign w:val="baseline"/>
                <w:lang w:val="en-US" w:eastAsia="zh-CN"/>
              </w:rPr>
            </w:pPr>
          </w:p>
        </w:tc>
        <w:tc>
          <w:tcPr>
            <w:tcW w:w="950" w:type="dxa"/>
            <w:vMerge w:val="continue"/>
          </w:tcPr>
          <w:p w14:paraId="3C991306">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ascii="方正仿宋_GBK" w:hAnsi="方正仿宋_GBK" w:eastAsia="方正仿宋_GBK" w:cs="方正仿宋_GBK"/>
                <w:sz w:val="24"/>
                <w:szCs w:val="24"/>
                <w:vertAlign w:val="baseline"/>
                <w:lang w:val="en-US" w:eastAsia="zh-CN"/>
              </w:rPr>
            </w:pPr>
          </w:p>
        </w:tc>
        <w:tc>
          <w:tcPr>
            <w:tcW w:w="2130" w:type="dxa"/>
            <w:vMerge w:val="continue"/>
          </w:tcPr>
          <w:p w14:paraId="3FD19284">
            <w:pPr>
              <w:numPr>
                <w:ilvl w:val="0"/>
                <w:numId w:val="0"/>
              </w:numPr>
              <w:ind w:firstLine="1050" w:firstLineChars="500"/>
              <w:rPr>
                <w:rFonts w:hint="default" w:ascii="方正仿宋_GBK" w:hAnsi="方正仿宋_GBK" w:eastAsia="方正仿宋_GBK" w:cs="方正仿宋_GBK"/>
                <w:sz w:val="21"/>
                <w:szCs w:val="21"/>
                <w:vertAlign w:val="baseline"/>
                <w:lang w:val="en-US" w:eastAsia="zh-CN"/>
              </w:rPr>
            </w:pPr>
          </w:p>
        </w:tc>
        <w:tc>
          <w:tcPr>
            <w:tcW w:w="800" w:type="dxa"/>
          </w:tcPr>
          <w:p w14:paraId="1BD7763B">
            <w:pPr>
              <w:numPr>
                <w:ilvl w:val="0"/>
                <w:numId w:val="0"/>
              </w:numPr>
              <w:ind w:left="0" w:leftChars="0" w:firstLine="0" w:firstLineChars="0"/>
              <w:jc w:val="center"/>
              <w:rPr>
                <w:rFonts w:hint="eastAsia" w:ascii="方正仿宋_GBK" w:hAnsi="方正仿宋_GBK" w:eastAsia="方正仿宋_GBK" w:cs="方正仿宋_GBK"/>
                <w:b/>
                <w:bCs/>
                <w:color w:val="000000"/>
                <w:spacing w:val="0"/>
                <w:w w:val="100"/>
                <w:position w:val="0"/>
                <w:sz w:val="21"/>
                <w:szCs w:val="21"/>
                <w:lang w:eastAsia="zh-CN"/>
              </w:rPr>
            </w:pPr>
            <w:r>
              <w:rPr>
                <w:rFonts w:hint="eastAsia" w:ascii="方正仿宋_GBK" w:hAnsi="方正仿宋_GBK" w:eastAsia="方正仿宋_GBK" w:cs="方正仿宋_GBK"/>
                <w:b/>
                <w:bCs/>
                <w:color w:val="000000"/>
                <w:spacing w:val="0"/>
                <w:w w:val="100"/>
                <w:position w:val="0"/>
                <w:sz w:val="21"/>
                <w:szCs w:val="21"/>
                <w:lang w:eastAsia="zh-CN"/>
              </w:rPr>
              <w:t>设备维护</w:t>
            </w:r>
          </w:p>
        </w:tc>
        <w:tc>
          <w:tcPr>
            <w:tcW w:w="2890" w:type="dxa"/>
            <w:vAlign w:val="center"/>
          </w:tcPr>
          <w:p w14:paraId="0AFF70AC">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13.设施设备日常检修、定期维护。</w:t>
            </w:r>
          </w:p>
        </w:tc>
        <w:tc>
          <w:tcPr>
            <w:tcW w:w="2780" w:type="dxa"/>
            <w:vAlign w:val="center"/>
          </w:tcPr>
          <w:p w14:paraId="3F9BF941">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设施设备日常检修、定期维护。</w:t>
            </w:r>
          </w:p>
        </w:tc>
        <w:tc>
          <w:tcPr>
            <w:tcW w:w="2890" w:type="dxa"/>
            <w:vAlign w:val="center"/>
          </w:tcPr>
          <w:p w14:paraId="365AF2D4">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设施设备日常检修、定期维护。</w:t>
            </w:r>
          </w:p>
        </w:tc>
        <w:tc>
          <w:tcPr>
            <w:tcW w:w="2700" w:type="dxa"/>
            <w:vAlign w:val="center"/>
          </w:tcPr>
          <w:p w14:paraId="2ED6EF20">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设施设备日常检修、定期维护。</w:t>
            </w:r>
          </w:p>
        </w:tc>
      </w:tr>
      <w:tr w14:paraId="48050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0" w:type="dxa"/>
            <w:vMerge w:val="restart"/>
            <w:vAlign w:val="center"/>
          </w:tcPr>
          <w:p w14:paraId="4600B561">
            <w:pPr>
              <w:numPr>
                <w:ilvl w:val="0"/>
                <w:numId w:val="0"/>
              </w:numPr>
              <w:jc w:val="center"/>
              <w:rPr>
                <w:rFonts w:hint="eastAsia" w:ascii="方正仿宋_GBK" w:hAnsi="方正仿宋_GBK" w:eastAsia="方正仿宋_GBK" w:cs="方正仿宋_GBK"/>
                <w:b/>
                <w:bCs/>
                <w:color w:val="000000"/>
                <w:spacing w:val="0"/>
                <w:w w:val="100"/>
                <w:position w:val="0"/>
                <w:sz w:val="30"/>
                <w:szCs w:val="30"/>
                <w:lang w:eastAsia="zh-CN"/>
              </w:rPr>
            </w:pPr>
            <w:r>
              <w:rPr>
                <w:rFonts w:hint="eastAsia" w:ascii="方正仿宋_GBK" w:hAnsi="方正仿宋_GBK" w:eastAsia="方正仿宋_GBK" w:cs="方正仿宋_GBK"/>
                <w:b/>
                <w:bCs/>
                <w:color w:val="000000"/>
                <w:spacing w:val="0"/>
                <w:w w:val="100"/>
                <w:position w:val="0"/>
                <w:sz w:val="30"/>
                <w:szCs w:val="30"/>
                <w:lang w:val="en-US" w:eastAsia="zh-CN"/>
              </w:rPr>
              <w:t>二、</w:t>
            </w:r>
            <w:r>
              <w:rPr>
                <w:rFonts w:hint="eastAsia" w:ascii="方正仿宋_GBK" w:hAnsi="方正仿宋_GBK" w:eastAsia="方正仿宋_GBK" w:cs="方正仿宋_GBK"/>
                <w:b/>
                <w:bCs/>
                <w:color w:val="000000"/>
                <w:spacing w:val="0"/>
                <w:w w:val="100"/>
                <w:position w:val="0"/>
                <w:sz w:val="30"/>
                <w:szCs w:val="30"/>
                <w:lang w:eastAsia="zh-CN"/>
              </w:rPr>
              <w:t>党</w:t>
            </w:r>
          </w:p>
          <w:p w14:paraId="36F52F8E">
            <w:pPr>
              <w:numPr>
                <w:ilvl w:val="0"/>
                <w:numId w:val="0"/>
              </w:numPr>
              <w:jc w:val="center"/>
              <w:rPr>
                <w:rFonts w:hint="eastAsia" w:ascii="方正仿宋_GBK" w:hAnsi="方正仿宋_GBK" w:eastAsia="方正仿宋_GBK" w:cs="方正仿宋_GBK"/>
                <w:b/>
                <w:bCs/>
                <w:color w:val="000000"/>
                <w:spacing w:val="0"/>
                <w:w w:val="100"/>
                <w:position w:val="0"/>
                <w:sz w:val="30"/>
                <w:szCs w:val="30"/>
                <w:lang w:eastAsia="zh-CN"/>
              </w:rPr>
            </w:pPr>
            <w:r>
              <w:rPr>
                <w:rFonts w:hint="eastAsia" w:ascii="方正仿宋_GBK" w:hAnsi="方正仿宋_GBK" w:eastAsia="方正仿宋_GBK" w:cs="方正仿宋_GBK"/>
                <w:b/>
                <w:bCs/>
                <w:color w:val="000000"/>
                <w:spacing w:val="0"/>
                <w:w w:val="100"/>
                <w:position w:val="0"/>
                <w:sz w:val="30"/>
                <w:szCs w:val="30"/>
                <w:lang w:eastAsia="zh-CN"/>
              </w:rPr>
              <w:t>建</w:t>
            </w:r>
          </w:p>
          <w:p w14:paraId="11D18E9E">
            <w:pPr>
              <w:numPr>
                <w:ilvl w:val="0"/>
                <w:numId w:val="0"/>
              </w:numPr>
              <w:jc w:val="center"/>
              <w:rPr>
                <w:rFonts w:hint="eastAsia" w:ascii="方正仿宋_GBK" w:hAnsi="方正仿宋_GBK" w:eastAsia="方正仿宋_GBK" w:cs="方正仿宋_GBK"/>
                <w:b/>
                <w:bCs/>
                <w:color w:val="000000"/>
                <w:spacing w:val="0"/>
                <w:w w:val="100"/>
                <w:position w:val="0"/>
                <w:sz w:val="30"/>
                <w:szCs w:val="30"/>
                <w:lang w:eastAsia="zh-CN"/>
              </w:rPr>
            </w:pPr>
            <w:r>
              <w:rPr>
                <w:rFonts w:hint="eastAsia" w:ascii="方正仿宋_GBK" w:hAnsi="方正仿宋_GBK" w:eastAsia="方正仿宋_GBK" w:cs="方正仿宋_GBK"/>
                <w:b/>
                <w:bCs/>
                <w:color w:val="000000"/>
                <w:spacing w:val="0"/>
                <w:w w:val="100"/>
                <w:position w:val="0"/>
                <w:sz w:val="30"/>
                <w:szCs w:val="30"/>
                <w:lang w:eastAsia="zh-CN"/>
              </w:rPr>
              <w:t>与</w:t>
            </w:r>
          </w:p>
          <w:p w14:paraId="135AC29A">
            <w:pPr>
              <w:numPr>
                <w:ilvl w:val="0"/>
                <w:numId w:val="0"/>
              </w:numPr>
              <w:jc w:val="center"/>
              <w:rPr>
                <w:rFonts w:hint="eastAsia" w:ascii="方正仿宋_GBK" w:hAnsi="方正仿宋_GBK" w:eastAsia="方正仿宋_GBK" w:cs="方正仿宋_GBK"/>
                <w:b/>
                <w:bCs/>
                <w:color w:val="000000"/>
                <w:spacing w:val="0"/>
                <w:w w:val="100"/>
                <w:position w:val="0"/>
                <w:sz w:val="30"/>
                <w:szCs w:val="30"/>
                <w:lang w:eastAsia="zh-CN"/>
              </w:rPr>
            </w:pPr>
            <w:r>
              <w:rPr>
                <w:rFonts w:hint="eastAsia" w:ascii="方正仿宋_GBK" w:hAnsi="方正仿宋_GBK" w:eastAsia="方正仿宋_GBK" w:cs="方正仿宋_GBK"/>
                <w:b/>
                <w:bCs/>
                <w:color w:val="000000"/>
                <w:spacing w:val="0"/>
                <w:w w:val="100"/>
                <w:position w:val="0"/>
                <w:sz w:val="30"/>
                <w:szCs w:val="30"/>
                <w:lang w:eastAsia="zh-CN"/>
              </w:rPr>
              <w:t>文</w:t>
            </w:r>
          </w:p>
          <w:p w14:paraId="0B4ECE30">
            <w:pPr>
              <w:numPr>
                <w:ilvl w:val="0"/>
                <w:numId w:val="0"/>
              </w:numPr>
              <w:jc w:val="center"/>
              <w:rPr>
                <w:rFonts w:hint="default" w:ascii="方正仿宋_GBK" w:hAnsi="方正仿宋_GBK" w:eastAsia="方正仿宋_GBK" w:cs="方正仿宋_GBK"/>
                <w:b/>
                <w:bCs/>
                <w:sz w:val="30"/>
                <w:szCs w:val="30"/>
                <w:vertAlign w:val="baseline"/>
                <w:lang w:val="en-US" w:eastAsia="zh-CN"/>
              </w:rPr>
            </w:pPr>
            <w:r>
              <w:rPr>
                <w:rFonts w:hint="eastAsia" w:ascii="方正仿宋_GBK" w:hAnsi="方正仿宋_GBK" w:eastAsia="方正仿宋_GBK" w:cs="方正仿宋_GBK"/>
                <w:b/>
                <w:bCs/>
                <w:color w:val="000000"/>
                <w:spacing w:val="0"/>
                <w:w w:val="100"/>
                <w:position w:val="0"/>
                <w:sz w:val="30"/>
                <w:szCs w:val="30"/>
                <w:lang w:eastAsia="zh-CN"/>
              </w:rPr>
              <w:t>化</w:t>
            </w:r>
          </w:p>
        </w:tc>
        <w:tc>
          <w:tcPr>
            <w:tcW w:w="950" w:type="dxa"/>
            <w:vMerge w:val="restart"/>
            <w:vAlign w:val="center"/>
          </w:tcPr>
          <w:p w14:paraId="7FCCBF7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color w:val="000000"/>
                <w:spacing w:val="0"/>
                <w:w w:val="100"/>
                <w:position w:val="0"/>
                <w:sz w:val="24"/>
                <w:szCs w:val="24"/>
                <w:lang w:eastAsia="zh-CN"/>
              </w:rPr>
            </w:pPr>
            <w:r>
              <w:rPr>
                <w:rFonts w:hint="eastAsia" w:ascii="方正仿宋_GBK" w:hAnsi="方正仿宋_GBK" w:eastAsia="方正仿宋_GBK" w:cs="方正仿宋_GBK"/>
                <w:b/>
                <w:bCs/>
                <w:color w:val="000000"/>
                <w:spacing w:val="0"/>
                <w:w w:val="100"/>
                <w:position w:val="0"/>
                <w:sz w:val="24"/>
                <w:szCs w:val="24"/>
                <w:lang w:eastAsia="zh-CN"/>
              </w:rPr>
              <w:t>组织</w:t>
            </w:r>
          </w:p>
          <w:p w14:paraId="72AC967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b/>
                <w:bCs/>
                <w:color w:val="000000"/>
                <w:spacing w:val="0"/>
                <w:w w:val="100"/>
                <w:position w:val="0"/>
                <w:sz w:val="24"/>
                <w:szCs w:val="24"/>
                <w:lang w:val="en-US" w:eastAsia="zh-CN"/>
              </w:rPr>
            </w:pPr>
            <w:r>
              <w:rPr>
                <w:rFonts w:hint="eastAsia" w:ascii="方正仿宋_GBK" w:hAnsi="方正仿宋_GBK" w:eastAsia="方正仿宋_GBK" w:cs="方正仿宋_GBK"/>
                <w:b/>
                <w:bCs/>
                <w:color w:val="000000"/>
                <w:spacing w:val="0"/>
                <w:w w:val="100"/>
                <w:position w:val="0"/>
                <w:sz w:val="24"/>
                <w:szCs w:val="24"/>
                <w:lang w:eastAsia="zh-CN"/>
              </w:rPr>
              <w:t>建设</w:t>
            </w:r>
          </w:p>
        </w:tc>
        <w:tc>
          <w:tcPr>
            <w:tcW w:w="2130" w:type="dxa"/>
            <w:vMerge w:val="restart"/>
            <w:vAlign w:val="center"/>
          </w:tcPr>
          <w:p w14:paraId="2F09D3A5">
            <w:pPr>
              <w:numPr>
                <w:ilvl w:val="0"/>
                <w:numId w:val="0"/>
              </w:numPr>
              <w:jc w:val="both"/>
              <w:rPr>
                <w:rFonts w:hint="eastAsia" w:ascii="方正仿宋_GBK" w:hAnsi="方正仿宋_GBK" w:cs="方正仿宋_GBK" w:eastAsiaTheme="minorEastAsia"/>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临时党组织建设规范，“三会一课”有序进行，内容充实，凝聚力强。</w:t>
            </w:r>
          </w:p>
        </w:tc>
        <w:tc>
          <w:tcPr>
            <w:tcW w:w="800" w:type="dxa"/>
          </w:tcPr>
          <w:p w14:paraId="14690AC7">
            <w:pPr>
              <w:numPr>
                <w:ilvl w:val="0"/>
                <w:numId w:val="0"/>
              </w:numPr>
              <w:ind w:left="0" w:leftChars="0" w:firstLine="0" w:firstLineChars="0"/>
              <w:jc w:val="center"/>
              <w:rPr>
                <w:rFonts w:hint="default" w:ascii="方正仿宋_GBK" w:hAnsi="方正仿宋_GBK" w:eastAsia="方正仿宋_GBK" w:cs="方正仿宋_GBK"/>
                <w:b/>
                <w:bCs/>
                <w:color w:val="000000"/>
                <w:spacing w:val="0"/>
                <w:w w:val="100"/>
                <w:position w:val="0"/>
                <w:sz w:val="21"/>
                <w:szCs w:val="21"/>
                <w:lang w:val="en-US" w:eastAsia="zh-CN"/>
              </w:rPr>
            </w:pPr>
            <w:r>
              <w:rPr>
                <w:rFonts w:hint="eastAsia" w:ascii="方正仿宋_GBK" w:hAnsi="方正仿宋_GBK" w:eastAsia="方正仿宋_GBK" w:cs="方正仿宋_GBK"/>
                <w:b/>
                <w:bCs/>
                <w:color w:val="000000"/>
                <w:spacing w:val="0"/>
                <w:w w:val="100"/>
                <w:position w:val="0"/>
                <w:sz w:val="21"/>
                <w:szCs w:val="21"/>
                <w:lang w:val="en-US" w:eastAsia="zh-CN"/>
              </w:rPr>
              <w:t>组织</w:t>
            </w:r>
            <w:r>
              <w:rPr>
                <w:rFonts w:hint="eastAsia" w:ascii="方正仿宋_GBK" w:hAnsi="方正仿宋_GBK" w:eastAsia="方正仿宋_GBK" w:cs="方正仿宋_GBK"/>
                <w:b/>
                <w:bCs/>
                <w:color w:val="000000"/>
                <w:spacing w:val="0"/>
                <w:w w:val="100"/>
                <w:position w:val="0"/>
                <w:sz w:val="21"/>
                <w:szCs w:val="21"/>
                <w:lang w:eastAsia="zh-CN"/>
              </w:rPr>
              <w:t>建设</w:t>
            </w:r>
          </w:p>
        </w:tc>
        <w:tc>
          <w:tcPr>
            <w:tcW w:w="2890" w:type="dxa"/>
            <w:vAlign w:val="center"/>
          </w:tcPr>
          <w:p w14:paraId="1D1AE557">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14.建有临时党组织，班子配置齐全。</w:t>
            </w:r>
          </w:p>
        </w:tc>
        <w:tc>
          <w:tcPr>
            <w:tcW w:w="2780" w:type="dxa"/>
            <w:vAlign w:val="center"/>
          </w:tcPr>
          <w:p w14:paraId="4E54FC1F">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建有临时党组织，班子配置齐全。</w:t>
            </w:r>
          </w:p>
        </w:tc>
        <w:tc>
          <w:tcPr>
            <w:tcW w:w="2890" w:type="dxa"/>
            <w:vAlign w:val="center"/>
          </w:tcPr>
          <w:p w14:paraId="4F1D0759">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建有临时党组织，班子配置齐全。</w:t>
            </w:r>
          </w:p>
        </w:tc>
        <w:tc>
          <w:tcPr>
            <w:tcW w:w="2700" w:type="dxa"/>
            <w:vAlign w:val="center"/>
          </w:tcPr>
          <w:p w14:paraId="78ABA02A">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按有关规定建立健全党组织。</w:t>
            </w:r>
          </w:p>
        </w:tc>
      </w:tr>
      <w:tr w14:paraId="2A41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vAlign w:val="top"/>
          </w:tcPr>
          <w:p w14:paraId="05C5A5E6">
            <w:pPr>
              <w:numPr>
                <w:ilvl w:val="0"/>
                <w:numId w:val="0"/>
              </w:numPr>
              <w:jc w:val="center"/>
              <w:rPr>
                <w:rFonts w:hint="default" w:ascii="方正仿宋_GBK" w:hAnsi="方正仿宋_GBK" w:eastAsia="方正仿宋_GBK" w:cs="方正仿宋_GBK"/>
                <w:b/>
                <w:bCs/>
                <w:sz w:val="30"/>
                <w:szCs w:val="30"/>
                <w:vertAlign w:val="baseline"/>
                <w:lang w:val="en-US" w:eastAsia="zh-CN"/>
              </w:rPr>
            </w:pPr>
          </w:p>
        </w:tc>
        <w:tc>
          <w:tcPr>
            <w:tcW w:w="950" w:type="dxa"/>
            <w:vMerge w:val="continue"/>
            <w:vAlign w:val="center"/>
          </w:tcPr>
          <w:p w14:paraId="361E7A63">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b/>
                <w:bCs/>
                <w:color w:val="000000"/>
                <w:spacing w:val="0"/>
                <w:w w:val="100"/>
                <w:position w:val="0"/>
                <w:sz w:val="24"/>
                <w:szCs w:val="24"/>
                <w:lang w:val="en-US" w:eastAsia="zh-CN"/>
              </w:rPr>
            </w:pPr>
          </w:p>
        </w:tc>
        <w:tc>
          <w:tcPr>
            <w:tcW w:w="2130" w:type="dxa"/>
            <w:vMerge w:val="continue"/>
          </w:tcPr>
          <w:p w14:paraId="643BE46B">
            <w:pPr>
              <w:numPr>
                <w:ilvl w:val="0"/>
                <w:numId w:val="0"/>
              </w:numPr>
              <w:rPr>
                <w:rFonts w:hint="default" w:ascii="方正仿宋_GBK" w:hAnsi="方正仿宋_GBK" w:eastAsia="方正仿宋_GBK" w:cs="方正仿宋_GBK"/>
                <w:sz w:val="21"/>
                <w:szCs w:val="21"/>
                <w:vertAlign w:val="baseline"/>
                <w:lang w:val="en-US" w:eastAsia="zh-CN"/>
              </w:rPr>
            </w:pPr>
          </w:p>
        </w:tc>
        <w:tc>
          <w:tcPr>
            <w:tcW w:w="800" w:type="dxa"/>
          </w:tcPr>
          <w:p w14:paraId="1ED7ACCE">
            <w:pPr>
              <w:numPr>
                <w:ilvl w:val="0"/>
                <w:numId w:val="0"/>
              </w:numPr>
              <w:ind w:left="0" w:leftChars="0" w:firstLine="0" w:firstLineChars="0"/>
              <w:jc w:val="center"/>
              <w:rPr>
                <w:rFonts w:hint="default" w:ascii="方正仿宋_GBK" w:hAnsi="方正仿宋_GBK" w:eastAsia="方正仿宋_GBK" w:cs="方正仿宋_GBK"/>
                <w:b/>
                <w:bCs/>
                <w:color w:val="000000"/>
                <w:spacing w:val="0"/>
                <w:w w:val="100"/>
                <w:position w:val="0"/>
                <w:sz w:val="21"/>
                <w:szCs w:val="21"/>
                <w:lang w:val="en-US" w:eastAsia="zh-CN"/>
              </w:rPr>
            </w:pPr>
            <w:r>
              <w:rPr>
                <w:rFonts w:hint="eastAsia" w:ascii="方正仿宋_GBK" w:hAnsi="方正仿宋_GBK" w:eastAsia="方正仿宋_GBK" w:cs="方正仿宋_GBK"/>
                <w:b/>
                <w:bCs/>
                <w:color w:val="000000"/>
                <w:spacing w:val="0"/>
                <w:w w:val="100"/>
                <w:position w:val="0"/>
                <w:sz w:val="21"/>
                <w:szCs w:val="21"/>
                <w:lang w:eastAsia="zh-CN"/>
              </w:rPr>
              <w:t>组织生活</w:t>
            </w:r>
          </w:p>
        </w:tc>
        <w:tc>
          <w:tcPr>
            <w:tcW w:w="2890" w:type="dxa"/>
            <w:vAlign w:val="center"/>
          </w:tcPr>
          <w:p w14:paraId="52E5DFC7">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15.“三会一课”有序开展。组建有党员为主导的志愿者队伍。每年开展活动4次以上（含党员活动2次）。</w:t>
            </w:r>
          </w:p>
        </w:tc>
        <w:tc>
          <w:tcPr>
            <w:tcW w:w="2780" w:type="dxa"/>
            <w:vAlign w:val="center"/>
          </w:tcPr>
          <w:p w14:paraId="2595F183">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“三会一课”有序开展。组建有党员为主导的志愿者队伍。每年开展活动3次以上（含党员活动2次）。</w:t>
            </w:r>
          </w:p>
        </w:tc>
        <w:tc>
          <w:tcPr>
            <w:tcW w:w="2890" w:type="dxa"/>
            <w:vAlign w:val="center"/>
          </w:tcPr>
          <w:p w14:paraId="77A871F6">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“三会一课”有序开展。组建党员为主导的志愿者队伍。每年开展活动2次以上（含党员活动1次）。</w:t>
            </w:r>
          </w:p>
        </w:tc>
        <w:tc>
          <w:tcPr>
            <w:tcW w:w="2700" w:type="dxa"/>
            <w:vAlign w:val="center"/>
          </w:tcPr>
          <w:p w14:paraId="2BEA36B8">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“三会一课”有序开展。每年组织活动1次以上。</w:t>
            </w:r>
          </w:p>
        </w:tc>
      </w:tr>
      <w:tr w14:paraId="4512A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vAlign w:val="top"/>
          </w:tcPr>
          <w:p w14:paraId="2C8CCE95">
            <w:pPr>
              <w:numPr>
                <w:ilvl w:val="0"/>
                <w:numId w:val="0"/>
              </w:numPr>
              <w:jc w:val="center"/>
              <w:rPr>
                <w:rFonts w:hint="default" w:ascii="方正仿宋_GBK" w:hAnsi="方正仿宋_GBK" w:eastAsia="方正仿宋_GBK" w:cs="方正仿宋_GBK"/>
                <w:b/>
                <w:bCs/>
                <w:sz w:val="30"/>
                <w:szCs w:val="30"/>
                <w:vertAlign w:val="baseline"/>
                <w:lang w:val="en-US" w:eastAsia="zh-CN"/>
              </w:rPr>
            </w:pPr>
          </w:p>
        </w:tc>
        <w:tc>
          <w:tcPr>
            <w:tcW w:w="950" w:type="dxa"/>
            <w:vMerge w:val="restart"/>
            <w:vAlign w:val="center"/>
          </w:tcPr>
          <w:p w14:paraId="7EEFA5F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color w:val="000000"/>
                <w:spacing w:val="0"/>
                <w:w w:val="100"/>
                <w:position w:val="0"/>
                <w:sz w:val="24"/>
                <w:szCs w:val="24"/>
                <w:lang w:eastAsia="zh-CN"/>
              </w:rPr>
            </w:pPr>
            <w:r>
              <w:rPr>
                <w:rFonts w:hint="eastAsia" w:ascii="方正仿宋_GBK" w:hAnsi="方正仿宋_GBK" w:eastAsia="方正仿宋_GBK" w:cs="方正仿宋_GBK"/>
                <w:b/>
                <w:bCs/>
                <w:color w:val="000000"/>
                <w:spacing w:val="0"/>
                <w:w w:val="100"/>
                <w:position w:val="0"/>
                <w:sz w:val="24"/>
                <w:szCs w:val="24"/>
                <w:lang w:eastAsia="zh-CN"/>
              </w:rPr>
              <w:t>思政</w:t>
            </w:r>
          </w:p>
          <w:p w14:paraId="275F611C">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b/>
                <w:bCs/>
                <w:color w:val="000000"/>
                <w:spacing w:val="0"/>
                <w:w w:val="100"/>
                <w:position w:val="0"/>
                <w:sz w:val="24"/>
                <w:szCs w:val="24"/>
                <w:lang w:val="en-US" w:eastAsia="zh-CN"/>
              </w:rPr>
            </w:pPr>
            <w:r>
              <w:rPr>
                <w:rFonts w:hint="eastAsia" w:ascii="方正仿宋_GBK" w:hAnsi="方正仿宋_GBK" w:eastAsia="方正仿宋_GBK" w:cs="方正仿宋_GBK"/>
                <w:b/>
                <w:bCs/>
                <w:color w:val="000000"/>
                <w:spacing w:val="0"/>
                <w:w w:val="100"/>
                <w:position w:val="0"/>
                <w:sz w:val="24"/>
                <w:szCs w:val="24"/>
                <w:lang w:eastAsia="zh-CN"/>
              </w:rPr>
              <w:t>教育</w:t>
            </w:r>
          </w:p>
        </w:tc>
        <w:tc>
          <w:tcPr>
            <w:tcW w:w="2130" w:type="dxa"/>
            <w:vMerge w:val="restart"/>
            <w:vAlign w:val="center"/>
          </w:tcPr>
          <w:p w14:paraId="65E72A12">
            <w:pPr>
              <w:numPr>
                <w:ilvl w:val="0"/>
                <w:numId w:val="0"/>
              </w:numPr>
              <w:jc w:val="both"/>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开展思政课程、专题教育活动等。</w:t>
            </w:r>
          </w:p>
        </w:tc>
        <w:tc>
          <w:tcPr>
            <w:tcW w:w="800" w:type="dxa"/>
          </w:tcPr>
          <w:p w14:paraId="4CAE48D5">
            <w:pPr>
              <w:numPr>
                <w:ilvl w:val="0"/>
                <w:numId w:val="0"/>
              </w:numPr>
              <w:ind w:left="0" w:leftChars="0" w:firstLine="0" w:firstLineChars="0"/>
              <w:jc w:val="center"/>
              <w:rPr>
                <w:rFonts w:hint="default" w:ascii="方正仿宋_GBK" w:hAnsi="方正仿宋_GBK" w:eastAsia="方正仿宋_GBK" w:cs="方正仿宋_GBK"/>
                <w:b/>
                <w:bCs/>
                <w:color w:val="000000"/>
                <w:spacing w:val="0"/>
                <w:w w:val="100"/>
                <w:position w:val="0"/>
                <w:sz w:val="21"/>
                <w:szCs w:val="21"/>
                <w:lang w:val="en-US" w:eastAsia="zh-CN"/>
              </w:rPr>
            </w:pPr>
            <w:r>
              <w:rPr>
                <w:rFonts w:hint="eastAsia" w:ascii="方正仿宋_GBK" w:hAnsi="方正仿宋_GBK" w:eastAsia="方正仿宋_GBK" w:cs="方正仿宋_GBK"/>
                <w:b/>
                <w:bCs/>
                <w:color w:val="000000"/>
                <w:spacing w:val="0"/>
                <w:w w:val="100"/>
                <w:position w:val="0"/>
                <w:sz w:val="21"/>
                <w:szCs w:val="21"/>
                <w:lang w:eastAsia="zh-CN"/>
              </w:rPr>
              <w:t>思政课程</w:t>
            </w:r>
          </w:p>
        </w:tc>
        <w:tc>
          <w:tcPr>
            <w:tcW w:w="2890" w:type="dxa"/>
            <w:vAlign w:val="center"/>
          </w:tcPr>
          <w:p w14:paraId="2D010441">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16.设立思想政治教育课程，列入课表和教学大纲。</w:t>
            </w:r>
          </w:p>
        </w:tc>
        <w:tc>
          <w:tcPr>
            <w:tcW w:w="2780" w:type="dxa"/>
            <w:vAlign w:val="center"/>
          </w:tcPr>
          <w:p w14:paraId="055616E2">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设立思想政治教育课程，列入课表和教学大纲。</w:t>
            </w:r>
          </w:p>
        </w:tc>
        <w:tc>
          <w:tcPr>
            <w:tcW w:w="2890" w:type="dxa"/>
            <w:vAlign w:val="center"/>
          </w:tcPr>
          <w:p w14:paraId="1514D6AB">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设立思想政治教育课程，列入课表和教学大纲。</w:t>
            </w:r>
          </w:p>
        </w:tc>
        <w:tc>
          <w:tcPr>
            <w:tcW w:w="2700" w:type="dxa"/>
            <w:vAlign w:val="center"/>
          </w:tcPr>
          <w:p w14:paraId="21BFBDC8">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相关课程列入课表。</w:t>
            </w:r>
          </w:p>
        </w:tc>
      </w:tr>
      <w:tr w14:paraId="0CC33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vAlign w:val="top"/>
          </w:tcPr>
          <w:p w14:paraId="03BCF49B">
            <w:pPr>
              <w:numPr>
                <w:ilvl w:val="0"/>
                <w:numId w:val="0"/>
              </w:numPr>
              <w:jc w:val="center"/>
              <w:rPr>
                <w:rFonts w:hint="default" w:ascii="方正仿宋_GBK" w:hAnsi="方正仿宋_GBK" w:eastAsia="方正仿宋_GBK" w:cs="方正仿宋_GBK"/>
                <w:b/>
                <w:bCs/>
                <w:sz w:val="30"/>
                <w:szCs w:val="30"/>
                <w:vertAlign w:val="baseline"/>
                <w:lang w:val="en-US" w:eastAsia="zh-CN"/>
              </w:rPr>
            </w:pPr>
          </w:p>
        </w:tc>
        <w:tc>
          <w:tcPr>
            <w:tcW w:w="950" w:type="dxa"/>
            <w:vMerge w:val="continue"/>
            <w:vAlign w:val="center"/>
          </w:tcPr>
          <w:p w14:paraId="4D71783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b/>
                <w:bCs/>
                <w:color w:val="000000"/>
                <w:spacing w:val="0"/>
                <w:w w:val="100"/>
                <w:position w:val="0"/>
                <w:sz w:val="24"/>
                <w:szCs w:val="24"/>
                <w:lang w:val="en-US" w:eastAsia="zh-CN"/>
              </w:rPr>
            </w:pPr>
          </w:p>
        </w:tc>
        <w:tc>
          <w:tcPr>
            <w:tcW w:w="2130" w:type="dxa"/>
            <w:vMerge w:val="continue"/>
            <w:vAlign w:val="center"/>
          </w:tcPr>
          <w:p w14:paraId="177DA472">
            <w:pPr>
              <w:numPr>
                <w:ilvl w:val="0"/>
                <w:numId w:val="0"/>
              </w:numPr>
              <w:jc w:val="both"/>
              <w:rPr>
                <w:rFonts w:hint="default" w:ascii="方正仿宋_GBK" w:hAnsi="方正仿宋_GBK" w:eastAsia="方正仿宋_GBK" w:cs="方正仿宋_GBK"/>
                <w:sz w:val="21"/>
                <w:szCs w:val="21"/>
                <w:vertAlign w:val="baseline"/>
                <w:lang w:val="en-US" w:eastAsia="zh-CN"/>
              </w:rPr>
            </w:pPr>
          </w:p>
        </w:tc>
        <w:tc>
          <w:tcPr>
            <w:tcW w:w="800" w:type="dxa"/>
            <w:vAlign w:val="center"/>
          </w:tcPr>
          <w:p w14:paraId="4688BD76">
            <w:pPr>
              <w:numPr>
                <w:ilvl w:val="0"/>
                <w:numId w:val="0"/>
              </w:numPr>
              <w:ind w:left="0" w:leftChars="0" w:firstLine="0" w:firstLineChars="0"/>
              <w:jc w:val="center"/>
              <w:rPr>
                <w:rFonts w:hint="default" w:ascii="方正仿宋_GBK" w:hAnsi="方正仿宋_GBK" w:eastAsia="方正仿宋_GBK" w:cs="方正仿宋_GBK"/>
                <w:b/>
                <w:bCs/>
                <w:color w:val="000000"/>
                <w:spacing w:val="0"/>
                <w:w w:val="100"/>
                <w:position w:val="0"/>
                <w:sz w:val="21"/>
                <w:szCs w:val="21"/>
                <w:lang w:val="en-US" w:eastAsia="zh-CN"/>
              </w:rPr>
            </w:pPr>
            <w:r>
              <w:rPr>
                <w:rFonts w:hint="eastAsia" w:ascii="方正仿宋_GBK" w:hAnsi="方正仿宋_GBK" w:eastAsia="方正仿宋_GBK" w:cs="方正仿宋_GBK"/>
                <w:b/>
                <w:bCs/>
                <w:color w:val="000000"/>
                <w:spacing w:val="0"/>
                <w:w w:val="100"/>
                <w:position w:val="0"/>
                <w:sz w:val="21"/>
                <w:szCs w:val="21"/>
                <w:lang w:eastAsia="zh-CN"/>
              </w:rPr>
              <w:t>思政活动</w:t>
            </w:r>
          </w:p>
        </w:tc>
        <w:tc>
          <w:tcPr>
            <w:tcW w:w="2890" w:type="dxa"/>
            <w:vAlign w:val="center"/>
          </w:tcPr>
          <w:p w14:paraId="7A68D050">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17.每年开展习近平新时代中国特色社会主义思想、党史国史、革命传统教育、优秀传统文化、时事政策等学习活动5次及以上。</w:t>
            </w:r>
          </w:p>
        </w:tc>
        <w:tc>
          <w:tcPr>
            <w:tcW w:w="2780" w:type="dxa"/>
            <w:vAlign w:val="center"/>
          </w:tcPr>
          <w:p w14:paraId="0E519B46">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每年开展习近平新时代中国特色社会主义思想、党史国史、革命传统教育、优秀传统文化、时事政策等学习活动4次及以上。</w:t>
            </w:r>
          </w:p>
        </w:tc>
        <w:tc>
          <w:tcPr>
            <w:tcW w:w="2890" w:type="dxa"/>
            <w:vAlign w:val="center"/>
          </w:tcPr>
          <w:p w14:paraId="7BCEAD95">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每年开展习近平新时代中国特色社会主义思想、党史国史、革命传统教育、优秀传统文化、时事政策等学习活动3次及以上。</w:t>
            </w:r>
          </w:p>
        </w:tc>
        <w:tc>
          <w:tcPr>
            <w:tcW w:w="2700" w:type="dxa"/>
            <w:vAlign w:val="center"/>
          </w:tcPr>
          <w:p w14:paraId="14299936">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每年开展习近平新时代中国特色社会主义思想、党史国史、革命传统教育、优秀传统文化、时事政策等学习活动1次及以上。</w:t>
            </w:r>
          </w:p>
        </w:tc>
      </w:tr>
      <w:tr w14:paraId="260F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40" w:type="dxa"/>
            <w:vMerge w:val="continue"/>
            <w:vAlign w:val="top"/>
          </w:tcPr>
          <w:p w14:paraId="78F4E1CA">
            <w:pPr>
              <w:numPr>
                <w:ilvl w:val="0"/>
                <w:numId w:val="0"/>
              </w:numPr>
              <w:jc w:val="center"/>
              <w:rPr>
                <w:rFonts w:hint="default" w:ascii="方正仿宋_GBK" w:hAnsi="方正仿宋_GBK" w:eastAsia="方正仿宋_GBK" w:cs="方正仿宋_GBK"/>
                <w:b/>
                <w:bCs/>
                <w:sz w:val="30"/>
                <w:szCs w:val="30"/>
                <w:vertAlign w:val="baseline"/>
                <w:lang w:val="en-US" w:eastAsia="zh-CN"/>
              </w:rPr>
            </w:pPr>
          </w:p>
        </w:tc>
        <w:tc>
          <w:tcPr>
            <w:tcW w:w="950" w:type="dxa"/>
            <w:vMerge w:val="continue"/>
            <w:vAlign w:val="center"/>
          </w:tcPr>
          <w:p w14:paraId="38EB52B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color w:val="000000"/>
                <w:spacing w:val="0"/>
                <w:w w:val="100"/>
                <w:position w:val="0"/>
                <w:sz w:val="24"/>
                <w:szCs w:val="24"/>
                <w:lang w:val="en-US" w:eastAsia="zh-CN"/>
              </w:rPr>
            </w:pPr>
          </w:p>
        </w:tc>
        <w:tc>
          <w:tcPr>
            <w:tcW w:w="2130" w:type="dxa"/>
            <w:vMerge w:val="continue"/>
            <w:vAlign w:val="center"/>
          </w:tcPr>
          <w:p w14:paraId="1A49D3E1">
            <w:pPr>
              <w:numPr>
                <w:ilvl w:val="0"/>
                <w:numId w:val="0"/>
              </w:numPr>
              <w:jc w:val="both"/>
              <w:rPr>
                <w:rFonts w:hint="eastAsia" w:ascii="方正仿宋_GBK" w:hAnsi="方正仿宋_GBK" w:eastAsia="方正仿宋_GBK" w:cs="方正仿宋_GBK"/>
                <w:sz w:val="21"/>
                <w:szCs w:val="21"/>
                <w:vertAlign w:val="baseline"/>
                <w:lang w:val="en-US" w:eastAsia="zh-CN"/>
              </w:rPr>
            </w:pPr>
          </w:p>
        </w:tc>
        <w:tc>
          <w:tcPr>
            <w:tcW w:w="800" w:type="dxa"/>
            <w:shd w:val="clear" w:color="auto" w:fill="auto"/>
            <w:vAlign w:val="center"/>
          </w:tcPr>
          <w:p w14:paraId="21382D1B">
            <w:pPr>
              <w:numPr>
                <w:ilvl w:val="0"/>
                <w:numId w:val="0"/>
              </w:numPr>
              <w:ind w:left="0" w:leftChars="0" w:firstLine="0" w:firstLineChars="0"/>
              <w:jc w:val="center"/>
              <w:rPr>
                <w:rFonts w:hint="eastAsia" w:ascii="方正仿宋_GBK" w:hAnsi="方正仿宋_GBK" w:eastAsia="方正仿宋_GBK" w:cs="方正仿宋_GBK"/>
                <w:b/>
                <w:bCs/>
                <w:color w:val="000000"/>
                <w:spacing w:val="0"/>
                <w:w w:val="100"/>
                <w:kern w:val="2"/>
                <w:position w:val="0"/>
                <w:sz w:val="21"/>
                <w:szCs w:val="21"/>
                <w:lang w:val="en-US" w:eastAsia="zh-CN" w:bidi="ar-SA"/>
              </w:rPr>
            </w:pPr>
            <w:r>
              <w:rPr>
                <w:rFonts w:hint="eastAsia" w:ascii="方正仿宋_GBK" w:hAnsi="方正仿宋_GBK" w:eastAsia="方正仿宋_GBK" w:cs="方正仿宋_GBK"/>
                <w:b/>
                <w:bCs/>
                <w:color w:val="000000"/>
                <w:spacing w:val="0"/>
                <w:w w:val="100"/>
                <w:position w:val="0"/>
                <w:sz w:val="21"/>
                <w:szCs w:val="21"/>
                <w:lang w:val="en-US" w:eastAsia="zh-CN"/>
              </w:rPr>
              <w:t>品牌数量</w:t>
            </w:r>
          </w:p>
        </w:tc>
        <w:tc>
          <w:tcPr>
            <w:tcW w:w="2890" w:type="dxa"/>
            <w:shd w:val="clear" w:color="auto" w:fill="auto"/>
            <w:vAlign w:val="center"/>
          </w:tcPr>
          <w:p w14:paraId="26F7A236">
            <w:pPr>
              <w:numPr>
                <w:ilvl w:val="0"/>
                <w:numId w:val="0"/>
              </w:numPr>
              <w:ind w:left="0" w:leftChars="0" w:firstLine="0" w:firstLineChars="0"/>
              <w:jc w:val="both"/>
              <w:rPr>
                <w:rFonts w:hint="eastAsia" w:ascii="方正仿宋_GBK" w:hAnsi="方正仿宋_GBK" w:eastAsia="方正仿宋_GBK" w:cs="方正仿宋_GBK"/>
                <w:color w:val="000000"/>
                <w:spacing w:val="0"/>
                <w:w w:val="100"/>
                <w:kern w:val="2"/>
                <w:position w:val="0"/>
                <w:sz w:val="21"/>
                <w:szCs w:val="21"/>
                <w:lang w:val="en-US" w:eastAsia="zh-CN" w:bidi="ar-SA"/>
              </w:rPr>
            </w:pPr>
            <w:r>
              <w:rPr>
                <w:rFonts w:hint="eastAsia" w:ascii="方正仿宋_GBK" w:hAnsi="方正仿宋_GBK" w:eastAsia="方正仿宋_GBK" w:cs="方正仿宋_GBK"/>
                <w:color w:val="000000"/>
                <w:spacing w:val="0"/>
                <w:w w:val="100"/>
                <w:position w:val="0"/>
                <w:sz w:val="21"/>
                <w:szCs w:val="21"/>
                <w:lang w:val="en-US" w:eastAsia="zh-CN"/>
              </w:rPr>
              <w:t>18.近五年内，培育有2个以上具有国家、省级影响力的文化品牌。</w:t>
            </w:r>
          </w:p>
        </w:tc>
        <w:tc>
          <w:tcPr>
            <w:tcW w:w="2780" w:type="dxa"/>
            <w:shd w:val="clear" w:color="auto" w:fill="auto"/>
            <w:vAlign w:val="center"/>
          </w:tcPr>
          <w:p w14:paraId="4482678F">
            <w:pPr>
              <w:numPr>
                <w:ilvl w:val="0"/>
                <w:numId w:val="0"/>
              </w:numPr>
              <w:ind w:left="0" w:leftChars="0" w:firstLine="0" w:firstLineChars="0"/>
              <w:jc w:val="both"/>
              <w:rPr>
                <w:rFonts w:hint="eastAsia" w:ascii="方正仿宋_GBK" w:hAnsi="方正仿宋_GBK" w:eastAsia="方正仿宋_GBK" w:cs="方正仿宋_GBK"/>
                <w:color w:val="000000"/>
                <w:spacing w:val="0"/>
                <w:w w:val="100"/>
                <w:kern w:val="2"/>
                <w:position w:val="0"/>
                <w:sz w:val="21"/>
                <w:szCs w:val="21"/>
                <w:lang w:val="en-US" w:eastAsia="zh-CN" w:bidi="ar-SA"/>
              </w:rPr>
            </w:pPr>
            <w:r>
              <w:rPr>
                <w:rFonts w:hint="eastAsia" w:ascii="方正仿宋_GBK" w:hAnsi="方正仿宋_GBK" w:eastAsia="方正仿宋_GBK" w:cs="方正仿宋_GBK"/>
                <w:color w:val="000000"/>
                <w:spacing w:val="0"/>
                <w:w w:val="100"/>
                <w:position w:val="0"/>
                <w:sz w:val="21"/>
                <w:szCs w:val="21"/>
                <w:lang w:val="en-US" w:eastAsia="zh-CN"/>
              </w:rPr>
              <w:t>近五年内，培育2个以上省级或市级、校级文化品牌。</w:t>
            </w:r>
          </w:p>
        </w:tc>
        <w:tc>
          <w:tcPr>
            <w:tcW w:w="2890" w:type="dxa"/>
            <w:shd w:val="clear" w:color="auto" w:fill="auto"/>
            <w:vAlign w:val="center"/>
          </w:tcPr>
          <w:p w14:paraId="6CD53E3F">
            <w:pPr>
              <w:numPr>
                <w:ilvl w:val="0"/>
                <w:numId w:val="0"/>
              </w:numPr>
              <w:ind w:left="0" w:leftChars="0" w:firstLine="0" w:firstLineChars="0"/>
              <w:jc w:val="both"/>
              <w:rPr>
                <w:rFonts w:hint="eastAsia" w:ascii="方正仿宋_GBK" w:hAnsi="方正仿宋_GBK" w:eastAsia="方正仿宋_GBK" w:cs="方正仿宋_GBK"/>
                <w:color w:val="000000"/>
                <w:spacing w:val="0"/>
                <w:w w:val="100"/>
                <w:kern w:val="2"/>
                <w:position w:val="0"/>
                <w:sz w:val="21"/>
                <w:szCs w:val="21"/>
                <w:lang w:val="en-US" w:eastAsia="zh-CN" w:bidi="ar-SA"/>
              </w:rPr>
            </w:pPr>
            <w:r>
              <w:rPr>
                <w:rFonts w:hint="eastAsia" w:ascii="方正仿宋_GBK" w:hAnsi="方正仿宋_GBK" w:eastAsia="方正仿宋_GBK" w:cs="方正仿宋_GBK"/>
                <w:color w:val="000000"/>
                <w:spacing w:val="0"/>
                <w:w w:val="100"/>
                <w:position w:val="0"/>
                <w:sz w:val="21"/>
                <w:szCs w:val="21"/>
                <w:lang w:val="en-US" w:eastAsia="zh-CN"/>
              </w:rPr>
              <w:t>近五年内，培育1个以上省级或市级、校社团、班级文化品牌。</w:t>
            </w:r>
          </w:p>
        </w:tc>
        <w:tc>
          <w:tcPr>
            <w:tcW w:w="2700" w:type="dxa"/>
            <w:shd w:val="clear" w:color="auto" w:fill="auto"/>
            <w:vAlign w:val="center"/>
          </w:tcPr>
          <w:p w14:paraId="007A7065">
            <w:pPr>
              <w:numPr>
                <w:ilvl w:val="0"/>
                <w:numId w:val="0"/>
              </w:numPr>
              <w:ind w:left="0" w:leftChars="0" w:firstLine="0" w:firstLineChars="0"/>
              <w:jc w:val="both"/>
              <w:rPr>
                <w:rFonts w:hint="eastAsia" w:ascii="方正仿宋_GBK" w:hAnsi="方正仿宋_GBK" w:eastAsia="方正仿宋_GBK" w:cs="方正仿宋_GBK"/>
                <w:color w:val="000000"/>
                <w:spacing w:val="0"/>
                <w:w w:val="100"/>
                <w:kern w:val="2"/>
                <w:position w:val="0"/>
                <w:sz w:val="21"/>
                <w:szCs w:val="21"/>
                <w:lang w:val="en-US" w:eastAsia="zh-CN" w:bidi="ar-SA"/>
              </w:rPr>
            </w:pPr>
            <w:r>
              <w:rPr>
                <w:rFonts w:hint="eastAsia" w:ascii="方正仿宋_GBK" w:hAnsi="方正仿宋_GBK" w:eastAsia="方正仿宋_GBK" w:cs="方正仿宋_GBK"/>
                <w:color w:val="000000"/>
                <w:spacing w:val="0"/>
                <w:w w:val="100"/>
                <w:position w:val="0"/>
                <w:sz w:val="21"/>
                <w:szCs w:val="21"/>
                <w:lang w:val="en-US" w:eastAsia="zh-CN"/>
              </w:rPr>
              <w:t>培育有地方特色鲜明的文化品牌。</w:t>
            </w:r>
          </w:p>
        </w:tc>
      </w:tr>
      <w:tr w14:paraId="2B68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840" w:type="dxa"/>
            <w:vMerge w:val="continue"/>
            <w:vAlign w:val="top"/>
          </w:tcPr>
          <w:p w14:paraId="689B9D93">
            <w:pPr>
              <w:numPr>
                <w:ilvl w:val="0"/>
                <w:numId w:val="0"/>
              </w:numPr>
              <w:jc w:val="center"/>
              <w:rPr>
                <w:rFonts w:hint="default" w:ascii="方正仿宋_GBK" w:hAnsi="方正仿宋_GBK" w:eastAsia="方正仿宋_GBK" w:cs="方正仿宋_GBK"/>
                <w:b/>
                <w:bCs/>
                <w:sz w:val="30"/>
                <w:szCs w:val="30"/>
                <w:vertAlign w:val="baseline"/>
                <w:lang w:val="en-US" w:eastAsia="zh-CN"/>
              </w:rPr>
            </w:pPr>
          </w:p>
        </w:tc>
        <w:tc>
          <w:tcPr>
            <w:tcW w:w="950" w:type="dxa"/>
            <w:vMerge w:val="continue"/>
            <w:vAlign w:val="top"/>
          </w:tcPr>
          <w:p w14:paraId="66EEE39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2130" w:type="dxa"/>
            <w:vMerge w:val="continue"/>
          </w:tcPr>
          <w:p w14:paraId="000287A4">
            <w:pPr>
              <w:numPr>
                <w:ilvl w:val="0"/>
                <w:numId w:val="0"/>
              </w:numPr>
              <w:rPr>
                <w:rFonts w:hint="default" w:ascii="方正仿宋_GBK" w:hAnsi="方正仿宋_GBK" w:eastAsia="方正仿宋_GBK" w:cs="方正仿宋_GBK"/>
                <w:sz w:val="21"/>
                <w:szCs w:val="21"/>
                <w:vertAlign w:val="baseline"/>
                <w:lang w:val="en-US" w:eastAsia="zh-CN"/>
              </w:rPr>
            </w:pPr>
          </w:p>
        </w:tc>
        <w:tc>
          <w:tcPr>
            <w:tcW w:w="800" w:type="dxa"/>
            <w:vAlign w:val="center"/>
          </w:tcPr>
          <w:p w14:paraId="0D381B56">
            <w:pPr>
              <w:numPr>
                <w:ilvl w:val="0"/>
                <w:numId w:val="0"/>
              </w:numPr>
              <w:ind w:left="0" w:leftChars="0" w:firstLine="0" w:firstLineChars="0"/>
              <w:jc w:val="center"/>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b/>
                <w:bCs/>
                <w:color w:val="000000"/>
                <w:spacing w:val="0"/>
                <w:w w:val="100"/>
                <w:position w:val="0"/>
                <w:sz w:val="21"/>
                <w:szCs w:val="21"/>
                <w:lang w:val="en-US" w:eastAsia="zh-CN"/>
              </w:rPr>
              <w:t>品牌活动</w:t>
            </w:r>
          </w:p>
        </w:tc>
        <w:tc>
          <w:tcPr>
            <w:tcW w:w="2890" w:type="dxa"/>
            <w:vAlign w:val="center"/>
          </w:tcPr>
          <w:p w14:paraId="09F66366">
            <w:pPr>
              <w:numPr>
                <w:ilvl w:val="0"/>
                <w:numId w:val="0"/>
              </w:numPr>
              <w:jc w:val="both"/>
              <w:rPr>
                <w:rFonts w:hint="eastAsia" w:ascii="方正仿宋_GBK" w:hAnsi="方正仿宋_GBK" w:cs="方正仿宋_GBK" w:eastAsiaTheme="minorEastAsia"/>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19.每年参加全国、全省或本区域文化交流展示活动4次以上，学校组织开展各类文化交流展示活动4次以上，并获奖。</w:t>
            </w:r>
          </w:p>
        </w:tc>
        <w:tc>
          <w:tcPr>
            <w:tcW w:w="2780" w:type="dxa"/>
            <w:vAlign w:val="center"/>
          </w:tcPr>
          <w:p w14:paraId="1E9970AE">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每年参加全国、全省、本区域文化交流活动3次以上，学校组织开展的文化交流展示活动3次以上，并获奖。</w:t>
            </w:r>
          </w:p>
        </w:tc>
        <w:tc>
          <w:tcPr>
            <w:tcW w:w="2890" w:type="dxa"/>
            <w:vAlign w:val="center"/>
          </w:tcPr>
          <w:p w14:paraId="502246B3">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每年参加全国、全省、本区域文化交流活动2次以上，学校组织开展的文化交流展示活动2次以上，并获奖。</w:t>
            </w:r>
          </w:p>
        </w:tc>
        <w:tc>
          <w:tcPr>
            <w:tcW w:w="2700" w:type="dxa"/>
            <w:vAlign w:val="center"/>
          </w:tcPr>
          <w:p w14:paraId="7D156C6F">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参加本区域文化交流活动1次以上，学校组织开展的文化交流展示活动1次以上，并获奖。</w:t>
            </w:r>
          </w:p>
        </w:tc>
      </w:tr>
      <w:tr w14:paraId="4FB6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840" w:type="dxa"/>
            <w:vMerge w:val="restart"/>
            <w:vAlign w:val="center"/>
          </w:tcPr>
          <w:p w14:paraId="1C5AAB3D">
            <w:pPr>
              <w:numPr>
                <w:ilvl w:val="0"/>
                <w:numId w:val="0"/>
              </w:numPr>
              <w:jc w:val="center"/>
              <w:rPr>
                <w:rFonts w:hint="eastAsia" w:ascii="方正仿宋_GBK" w:hAnsi="方正仿宋_GBK" w:eastAsia="方正仿宋_GBK" w:cs="方正仿宋_GBK"/>
                <w:b/>
                <w:bCs/>
                <w:sz w:val="30"/>
                <w:szCs w:val="30"/>
                <w:vertAlign w:val="baseline"/>
                <w:lang w:val="en-US" w:eastAsia="zh-CN"/>
              </w:rPr>
            </w:pPr>
            <w:r>
              <w:rPr>
                <w:rFonts w:hint="eastAsia" w:ascii="方正仿宋_GBK" w:hAnsi="方正仿宋_GBK" w:eastAsia="方正仿宋_GBK" w:cs="方正仿宋_GBK"/>
                <w:b/>
                <w:bCs/>
                <w:sz w:val="30"/>
                <w:szCs w:val="30"/>
                <w:vertAlign w:val="baseline"/>
                <w:lang w:val="en-US" w:eastAsia="zh-CN"/>
              </w:rPr>
              <w:t>三、</w:t>
            </w:r>
          </w:p>
          <w:p w14:paraId="06D64BAB">
            <w:pPr>
              <w:numPr>
                <w:ilvl w:val="0"/>
                <w:numId w:val="0"/>
              </w:numPr>
              <w:jc w:val="center"/>
              <w:rPr>
                <w:rFonts w:hint="eastAsia" w:ascii="方正仿宋_GBK" w:hAnsi="方正仿宋_GBK" w:eastAsia="方正仿宋_GBK" w:cs="方正仿宋_GBK"/>
                <w:b/>
                <w:bCs/>
                <w:sz w:val="30"/>
                <w:szCs w:val="30"/>
                <w:vertAlign w:val="baseline"/>
                <w:lang w:val="en-US" w:eastAsia="zh-CN"/>
              </w:rPr>
            </w:pPr>
            <w:r>
              <w:rPr>
                <w:rFonts w:hint="eastAsia" w:ascii="方正仿宋_GBK" w:hAnsi="方正仿宋_GBK" w:eastAsia="方正仿宋_GBK" w:cs="方正仿宋_GBK"/>
                <w:b/>
                <w:bCs/>
                <w:sz w:val="30"/>
                <w:szCs w:val="30"/>
                <w:vertAlign w:val="baseline"/>
                <w:lang w:val="en-US" w:eastAsia="zh-CN"/>
              </w:rPr>
              <w:t>教</w:t>
            </w:r>
          </w:p>
          <w:p w14:paraId="73B0D0ED">
            <w:pPr>
              <w:numPr>
                <w:ilvl w:val="0"/>
                <w:numId w:val="0"/>
              </w:numPr>
              <w:jc w:val="center"/>
              <w:rPr>
                <w:rFonts w:hint="eastAsia" w:ascii="方正仿宋_GBK" w:hAnsi="方正仿宋_GBK" w:eastAsia="方正仿宋_GBK" w:cs="方正仿宋_GBK"/>
                <w:b/>
                <w:bCs/>
                <w:sz w:val="30"/>
                <w:szCs w:val="30"/>
                <w:vertAlign w:val="baseline"/>
                <w:lang w:val="en-US" w:eastAsia="zh-CN"/>
              </w:rPr>
            </w:pPr>
            <w:r>
              <w:rPr>
                <w:rFonts w:hint="eastAsia" w:ascii="方正仿宋_GBK" w:hAnsi="方正仿宋_GBK" w:eastAsia="方正仿宋_GBK" w:cs="方正仿宋_GBK"/>
                <w:b/>
                <w:bCs/>
                <w:sz w:val="30"/>
                <w:szCs w:val="30"/>
                <w:vertAlign w:val="baseline"/>
                <w:lang w:val="en-US" w:eastAsia="zh-CN"/>
              </w:rPr>
              <w:t>学</w:t>
            </w:r>
          </w:p>
          <w:p w14:paraId="1307366B">
            <w:pPr>
              <w:numPr>
                <w:ilvl w:val="0"/>
                <w:numId w:val="0"/>
              </w:numPr>
              <w:jc w:val="center"/>
              <w:rPr>
                <w:rFonts w:hint="eastAsia" w:ascii="方正仿宋_GBK" w:hAnsi="方正仿宋_GBK" w:eastAsia="方正仿宋_GBK" w:cs="方正仿宋_GBK"/>
                <w:b/>
                <w:bCs/>
                <w:sz w:val="30"/>
                <w:szCs w:val="30"/>
                <w:vertAlign w:val="baseline"/>
                <w:lang w:val="en-US" w:eastAsia="zh-CN"/>
              </w:rPr>
            </w:pPr>
            <w:r>
              <w:rPr>
                <w:rFonts w:hint="eastAsia" w:ascii="方正仿宋_GBK" w:hAnsi="方正仿宋_GBK" w:eastAsia="方正仿宋_GBK" w:cs="方正仿宋_GBK"/>
                <w:b/>
                <w:bCs/>
                <w:sz w:val="30"/>
                <w:szCs w:val="30"/>
                <w:vertAlign w:val="baseline"/>
                <w:lang w:val="en-US" w:eastAsia="zh-CN"/>
              </w:rPr>
              <w:t>管</w:t>
            </w:r>
          </w:p>
          <w:p w14:paraId="7612D166">
            <w:pPr>
              <w:numPr>
                <w:ilvl w:val="0"/>
                <w:numId w:val="0"/>
              </w:numPr>
              <w:jc w:val="center"/>
              <w:rPr>
                <w:rFonts w:hint="default" w:ascii="方正仿宋_GBK" w:hAnsi="方正仿宋_GBK" w:eastAsia="方正仿宋_GBK" w:cs="方正仿宋_GBK"/>
                <w:b/>
                <w:bCs/>
                <w:sz w:val="30"/>
                <w:szCs w:val="30"/>
                <w:vertAlign w:val="baseline"/>
                <w:lang w:val="en-US" w:eastAsia="zh-CN"/>
              </w:rPr>
            </w:pPr>
            <w:r>
              <w:rPr>
                <w:rFonts w:hint="eastAsia" w:ascii="方正仿宋_GBK" w:hAnsi="方正仿宋_GBK" w:eastAsia="方正仿宋_GBK" w:cs="方正仿宋_GBK"/>
                <w:b/>
                <w:bCs/>
                <w:sz w:val="30"/>
                <w:szCs w:val="30"/>
                <w:vertAlign w:val="baseline"/>
                <w:lang w:val="en-US" w:eastAsia="zh-CN"/>
              </w:rPr>
              <w:t>理</w:t>
            </w:r>
          </w:p>
        </w:tc>
        <w:tc>
          <w:tcPr>
            <w:tcW w:w="950" w:type="dxa"/>
            <w:vMerge w:val="restart"/>
            <w:vAlign w:val="center"/>
          </w:tcPr>
          <w:p w14:paraId="3CF6179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color w:val="000000"/>
                <w:spacing w:val="0"/>
                <w:w w:val="100"/>
                <w:position w:val="0"/>
                <w:sz w:val="24"/>
                <w:szCs w:val="24"/>
                <w:lang w:val="en-US" w:eastAsia="zh-CN"/>
              </w:rPr>
            </w:pPr>
            <w:r>
              <w:rPr>
                <w:rFonts w:hint="eastAsia" w:ascii="方正仿宋_GBK" w:hAnsi="方正仿宋_GBK" w:eastAsia="方正仿宋_GBK" w:cs="方正仿宋_GBK"/>
                <w:b/>
                <w:bCs/>
                <w:color w:val="000000"/>
                <w:spacing w:val="0"/>
                <w:w w:val="100"/>
                <w:position w:val="0"/>
                <w:sz w:val="24"/>
                <w:szCs w:val="24"/>
                <w:lang w:val="en-US" w:eastAsia="zh-CN"/>
              </w:rPr>
              <w:t>教务</w:t>
            </w:r>
          </w:p>
          <w:p w14:paraId="69272D13">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000000"/>
                <w:spacing w:val="0"/>
                <w:w w:val="100"/>
                <w:position w:val="0"/>
                <w:sz w:val="24"/>
                <w:szCs w:val="24"/>
                <w:lang w:val="en-US" w:eastAsia="zh-CN"/>
              </w:rPr>
              <w:t>管理</w:t>
            </w:r>
          </w:p>
        </w:tc>
        <w:tc>
          <w:tcPr>
            <w:tcW w:w="2130" w:type="dxa"/>
            <w:vMerge w:val="restart"/>
            <w:vAlign w:val="center"/>
          </w:tcPr>
          <w:p w14:paraId="57B46D6C">
            <w:pPr>
              <w:numPr>
                <w:ilvl w:val="0"/>
                <w:numId w:val="0"/>
              </w:numPr>
              <w:jc w:val="both"/>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教学过程和教学质量的管理与服务。</w:t>
            </w:r>
          </w:p>
        </w:tc>
        <w:tc>
          <w:tcPr>
            <w:tcW w:w="800" w:type="dxa"/>
          </w:tcPr>
          <w:p w14:paraId="14842F17">
            <w:pPr>
              <w:numPr>
                <w:ilvl w:val="0"/>
                <w:numId w:val="0"/>
              </w:numPr>
              <w:ind w:left="0" w:leftChars="0" w:firstLine="0" w:firstLineChars="0"/>
              <w:jc w:val="center"/>
              <w:rPr>
                <w:rFonts w:hint="default" w:ascii="方正仿宋_GBK" w:hAnsi="方正仿宋_GBK" w:eastAsia="方正仿宋_GBK" w:cs="方正仿宋_GBK"/>
                <w:b/>
                <w:bCs/>
                <w:color w:val="000000"/>
                <w:spacing w:val="0"/>
                <w:w w:val="100"/>
                <w:position w:val="0"/>
                <w:sz w:val="21"/>
                <w:szCs w:val="21"/>
                <w:lang w:val="en-US" w:eastAsia="zh-CN"/>
              </w:rPr>
            </w:pPr>
            <w:r>
              <w:rPr>
                <w:rFonts w:hint="eastAsia" w:ascii="方正仿宋_GBK" w:hAnsi="方正仿宋_GBK" w:eastAsia="方正仿宋_GBK" w:cs="方正仿宋_GBK"/>
                <w:b/>
                <w:bCs/>
                <w:color w:val="000000"/>
                <w:spacing w:val="0"/>
                <w:w w:val="100"/>
                <w:position w:val="0"/>
                <w:sz w:val="21"/>
                <w:szCs w:val="21"/>
                <w:lang w:val="en-US" w:eastAsia="zh-CN"/>
              </w:rPr>
              <w:t>部门设置</w:t>
            </w:r>
          </w:p>
        </w:tc>
        <w:tc>
          <w:tcPr>
            <w:tcW w:w="2890" w:type="dxa"/>
            <w:vAlign w:val="center"/>
          </w:tcPr>
          <w:p w14:paraId="4B3B13C6">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20.设有教务部门，配备专职管理人员不少于8人。</w:t>
            </w:r>
          </w:p>
        </w:tc>
        <w:tc>
          <w:tcPr>
            <w:tcW w:w="2780" w:type="dxa"/>
            <w:vAlign w:val="center"/>
          </w:tcPr>
          <w:p w14:paraId="01BA20C4">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设有教务部门，配备专职管理人员不少于4人。</w:t>
            </w:r>
          </w:p>
        </w:tc>
        <w:tc>
          <w:tcPr>
            <w:tcW w:w="2890" w:type="dxa"/>
            <w:vAlign w:val="center"/>
          </w:tcPr>
          <w:p w14:paraId="562F5655">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设有教务部门，配备专职管理人员不少于2人。</w:t>
            </w:r>
          </w:p>
        </w:tc>
        <w:tc>
          <w:tcPr>
            <w:tcW w:w="2700" w:type="dxa"/>
            <w:vAlign w:val="center"/>
          </w:tcPr>
          <w:p w14:paraId="45B734EB">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设有教务部门，配备兼职管理人员1人。</w:t>
            </w:r>
          </w:p>
        </w:tc>
      </w:tr>
      <w:tr w14:paraId="1C76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840" w:type="dxa"/>
            <w:vMerge w:val="continue"/>
            <w:vAlign w:val="top"/>
          </w:tcPr>
          <w:p w14:paraId="78366046">
            <w:pPr>
              <w:numPr>
                <w:ilvl w:val="0"/>
                <w:numId w:val="0"/>
              </w:numPr>
              <w:jc w:val="center"/>
              <w:rPr>
                <w:rFonts w:hint="default" w:ascii="方正仿宋_GBK" w:hAnsi="方正仿宋_GBK" w:eastAsia="方正仿宋_GBK" w:cs="方正仿宋_GBK"/>
                <w:b/>
                <w:bCs/>
                <w:sz w:val="30"/>
                <w:szCs w:val="30"/>
                <w:vertAlign w:val="baseline"/>
                <w:lang w:val="en-US" w:eastAsia="zh-CN"/>
              </w:rPr>
            </w:pPr>
          </w:p>
        </w:tc>
        <w:tc>
          <w:tcPr>
            <w:tcW w:w="950" w:type="dxa"/>
            <w:vMerge w:val="continue"/>
            <w:vAlign w:val="top"/>
          </w:tcPr>
          <w:p w14:paraId="2E160444">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2130" w:type="dxa"/>
            <w:vMerge w:val="continue"/>
          </w:tcPr>
          <w:p w14:paraId="62D8A542">
            <w:pPr>
              <w:numPr>
                <w:ilvl w:val="0"/>
                <w:numId w:val="0"/>
              </w:numPr>
              <w:rPr>
                <w:rFonts w:hint="default" w:ascii="方正仿宋_GBK" w:hAnsi="方正仿宋_GBK" w:eastAsia="方正仿宋_GBK" w:cs="方正仿宋_GBK"/>
                <w:sz w:val="21"/>
                <w:szCs w:val="21"/>
                <w:vertAlign w:val="baseline"/>
                <w:lang w:val="en-US" w:eastAsia="zh-CN"/>
              </w:rPr>
            </w:pPr>
          </w:p>
        </w:tc>
        <w:tc>
          <w:tcPr>
            <w:tcW w:w="800" w:type="dxa"/>
          </w:tcPr>
          <w:p w14:paraId="0A4DE17D">
            <w:pPr>
              <w:numPr>
                <w:ilvl w:val="0"/>
                <w:numId w:val="0"/>
              </w:numPr>
              <w:ind w:left="0" w:leftChars="0" w:firstLine="0" w:firstLineChars="0"/>
              <w:jc w:val="center"/>
              <w:rPr>
                <w:rFonts w:hint="eastAsia" w:ascii="方正仿宋_GBK" w:hAnsi="方正仿宋_GBK" w:eastAsia="方正仿宋_GBK" w:cs="方正仿宋_GBK"/>
                <w:b/>
                <w:bCs/>
                <w:color w:val="000000"/>
                <w:spacing w:val="0"/>
                <w:w w:val="100"/>
                <w:position w:val="0"/>
                <w:sz w:val="21"/>
                <w:szCs w:val="21"/>
                <w:lang w:val="en-US" w:eastAsia="zh-CN"/>
              </w:rPr>
            </w:pPr>
            <w:r>
              <w:rPr>
                <w:rFonts w:hint="eastAsia" w:ascii="方正仿宋_GBK" w:hAnsi="方正仿宋_GBK" w:eastAsia="方正仿宋_GBK" w:cs="方正仿宋_GBK"/>
                <w:b/>
                <w:bCs/>
                <w:color w:val="000000"/>
                <w:spacing w:val="0"/>
                <w:w w:val="100"/>
                <w:position w:val="0"/>
                <w:sz w:val="21"/>
                <w:szCs w:val="21"/>
                <w:lang w:val="en-US" w:eastAsia="zh-CN"/>
              </w:rPr>
              <w:t>规章制度</w:t>
            </w:r>
          </w:p>
        </w:tc>
        <w:tc>
          <w:tcPr>
            <w:tcW w:w="2890" w:type="dxa"/>
            <w:vAlign w:val="center"/>
          </w:tcPr>
          <w:p w14:paraId="2107597F">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21.制定规范的教学、教师、课堂、学员、社团等管理制度。</w:t>
            </w:r>
          </w:p>
        </w:tc>
        <w:tc>
          <w:tcPr>
            <w:tcW w:w="2780" w:type="dxa"/>
            <w:vAlign w:val="center"/>
          </w:tcPr>
          <w:p w14:paraId="77A78A77">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制定规范的教学、教师、课堂、学员、社团等管理制度。</w:t>
            </w:r>
          </w:p>
        </w:tc>
        <w:tc>
          <w:tcPr>
            <w:tcW w:w="2890" w:type="dxa"/>
            <w:vAlign w:val="center"/>
          </w:tcPr>
          <w:p w14:paraId="3A43AFFF">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制定规范的教学、教师、课堂、学员、社团等管理制度。</w:t>
            </w:r>
          </w:p>
        </w:tc>
        <w:tc>
          <w:tcPr>
            <w:tcW w:w="2700" w:type="dxa"/>
            <w:vAlign w:val="center"/>
          </w:tcPr>
          <w:p w14:paraId="7CDC324F">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有教学、教师、课堂、学员、社团等管理制度。</w:t>
            </w:r>
          </w:p>
        </w:tc>
      </w:tr>
      <w:tr w14:paraId="54681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40" w:type="dxa"/>
            <w:vMerge w:val="continue"/>
            <w:vAlign w:val="top"/>
          </w:tcPr>
          <w:p w14:paraId="4C624AA8">
            <w:pPr>
              <w:numPr>
                <w:ilvl w:val="0"/>
                <w:numId w:val="0"/>
              </w:numPr>
              <w:jc w:val="center"/>
              <w:rPr>
                <w:rFonts w:hint="default" w:ascii="方正仿宋_GBK" w:hAnsi="方正仿宋_GBK" w:eastAsia="方正仿宋_GBK" w:cs="方正仿宋_GBK"/>
                <w:b/>
                <w:bCs/>
                <w:sz w:val="30"/>
                <w:szCs w:val="30"/>
                <w:vertAlign w:val="baseline"/>
                <w:lang w:val="en-US" w:eastAsia="zh-CN"/>
              </w:rPr>
            </w:pPr>
          </w:p>
        </w:tc>
        <w:tc>
          <w:tcPr>
            <w:tcW w:w="950" w:type="dxa"/>
            <w:vMerge w:val="continue"/>
            <w:vAlign w:val="top"/>
          </w:tcPr>
          <w:p w14:paraId="09C1D4E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2130" w:type="dxa"/>
            <w:vMerge w:val="continue"/>
          </w:tcPr>
          <w:p w14:paraId="5B3E8BEA">
            <w:pPr>
              <w:numPr>
                <w:ilvl w:val="0"/>
                <w:numId w:val="0"/>
              </w:numPr>
              <w:rPr>
                <w:rFonts w:hint="default" w:ascii="方正仿宋_GBK" w:hAnsi="方正仿宋_GBK" w:eastAsia="方正仿宋_GBK" w:cs="方正仿宋_GBK"/>
                <w:sz w:val="21"/>
                <w:szCs w:val="21"/>
                <w:vertAlign w:val="baseline"/>
                <w:lang w:val="en-US" w:eastAsia="zh-CN"/>
              </w:rPr>
            </w:pPr>
          </w:p>
        </w:tc>
        <w:tc>
          <w:tcPr>
            <w:tcW w:w="800" w:type="dxa"/>
          </w:tcPr>
          <w:p w14:paraId="120BF1EE">
            <w:pPr>
              <w:numPr>
                <w:ilvl w:val="0"/>
                <w:numId w:val="0"/>
              </w:numPr>
              <w:ind w:left="0" w:leftChars="0" w:firstLine="0" w:firstLineChars="0"/>
              <w:jc w:val="center"/>
              <w:rPr>
                <w:rFonts w:hint="default" w:ascii="方正仿宋_GBK" w:hAnsi="方正仿宋_GBK" w:eastAsia="方正仿宋_GBK" w:cs="方正仿宋_GBK"/>
                <w:b/>
                <w:bCs/>
                <w:color w:val="000000"/>
                <w:spacing w:val="0"/>
                <w:w w:val="100"/>
                <w:position w:val="0"/>
                <w:sz w:val="21"/>
                <w:szCs w:val="21"/>
                <w:lang w:val="en-US" w:eastAsia="zh-CN"/>
              </w:rPr>
            </w:pPr>
            <w:r>
              <w:rPr>
                <w:rFonts w:hint="eastAsia" w:ascii="方正仿宋_GBK" w:hAnsi="方正仿宋_GBK" w:eastAsia="方正仿宋_GBK" w:cs="方正仿宋_GBK"/>
                <w:b/>
                <w:bCs/>
                <w:color w:val="000000"/>
                <w:spacing w:val="0"/>
                <w:w w:val="100"/>
                <w:position w:val="0"/>
                <w:sz w:val="21"/>
                <w:szCs w:val="21"/>
                <w:lang w:val="en-US" w:eastAsia="zh-CN"/>
              </w:rPr>
              <w:t>信息化</w:t>
            </w:r>
          </w:p>
        </w:tc>
        <w:tc>
          <w:tcPr>
            <w:tcW w:w="2890" w:type="dxa"/>
            <w:vAlign w:val="center"/>
          </w:tcPr>
          <w:p w14:paraId="201651A5">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22.通过构建网上管理平台，实现教务管理全面信息化。</w:t>
            </w:r>
          </w:p>
        </w:tc>
        <w:tc>
          <w:tcPr>
            <w:tcW w:w="2780" w:type="dxa"/>
            <w:vAlign w:val="center"/>
          </w:tcPr>
          <w:p w14:paraId="44DB4224">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通过构建网上管理平台，实现教务管理全面信息化。</w:t>
            </w:r>
          </w:p>
        </w:tc>
        <w:tc>
          <w:tcPr>
            <w:tcW w:w="2890" w:type="dxa"/>
            <w:vAlign w:val="center"/>
          </w:tcPr>
          <w:p w14:paraId="696EE82F">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通过构建网上管理平台，实现教务管理全面信息化。</w:t>
            </w:r>
          </w:p>
        </w:tc>
        <w:tc>
          <w:tcPr>
            <w:tcW w:w="2700" w:type="dxa"/>
            <w:vAlign w:val="center"/>
          </w:tcPr>
          <w:p w14:paraId="3B7CD734">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实现电子化办公。</w:t>
            </w:r>
          </w:p>
        </w:tc>
      </w:tr>
      <w:tr w14:paraId="0F065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840" w:type="dxa"/>
            <w:vMerge w:val="continue"/>
            <w:vAlign w:val="top"/>
          </w:tcPr>
          <w:p w14:paraId="19083890">
            <w:pPr>
              <w:numPr>
                <w:ilvl w:val="0"/>
                <w:numId w:val="0"/>
              </w:numPr>
              <w:jc w:val="center"/>
              <w:rPr>
                <w:rFonts w:hint="default" w:ascii="方正仿宋_GBK" w:hAnsi="方正仿宋_GBK" w:eastAsia="方正仿宋_GBK" w:cs="方正仿宋_GBK"/>
                <w:b/>
                <w:bCs/>
                <w:sz w:val="30"/>
                <w:szCs w:val="30"/>
                <w:vertAlign w:val="baseline"/>
                <w:lang w:val="en-US" w:eastAsia="zh-CN"/>
              </w:rPr>
            </w:pPr>
          </w:p>
        </w:tc>
        <w:tc>
          <w:tcPr>
            <w:tcW w:w="950" w:type="dxa"/>
            <w:vMerge w:val="restart"/>
            <w:vAlign w:val="center"/>
          </w:tcPr>
          <w:p w14:paraId="745C6CC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color w:val="000000"/>
                <w:spacing w:val="0"/>
                <w:w w:val="100"/>
                <w:position w:val="0"/>
                <w:sz w:val="24"/>
                <w:szCs w:val="24"/>
                <w:lang w:val="en-US" w:eastAsia="zh-CN"/>
              </w:rPr>
            </w:pPr>
            <w:r>
              <w:rPr>
                <w:rFonts w:hint="eastAsia" w:ascii="方正仿宋_GBK" w:hAnsi="方正仿宋_GBK" w:eastAsia="方正仿宋_GBK" w:cs="方正仿宋_GBK"/>
                <w:b/>
                <w:bCs/>
                <w:color w:val="000000"/>
                <w:spacing w:val="0"/>
                <w:w w:val="100"/>
                <w:position w:val="0"/>
                <w:sz w:val="24"/>
                <w:szCs w:val="24"/>
                <w:lang w:val="en-US" w:eastAsia="zh-CN"/>
              </w:rPr>
              <w:t>课程</w:t>
            </w:r>
          </w:p>
          <w:p w14:paraId="753699C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000000"/>
                <w:spacing w:val="0"/>
                <w:w w:val="100"/>
                <w:position w:val="0"/>
                <w:sz w:val="24"/>
                <w:szCs w:val="24"/>
                <w:lang w:val="en-US" w:eastAsia="zh-CN"/>
              </w:rPr>
              <w:t>建设</w:t>
            </w:r>
          </w:p>
        </w:tc>
        <w:tc>
          <w:tcPr>
            <w:tcW w:w="2130" w:type="dxa"/>
            <w:vMerge w:val="restart"/>
            <w:vAlign w:val="center"/>
          </w:tcPr>
          <w:p w14:paraId="446A9478">
            <w:pPr>
              <w:numPr>
                <w:ilvl w:val="0"/>
                <w:numId w:val="0"/>
              </w:numPr>
              <w:jc w:val="both"/>
              <w:rPr>
                <w:rFonts w:hint="eastAsia" w:ascii="方正仿宋_GBK" w:hAnsi="方正仿宋_GBK" w:cs="方正仿宋_GBK" w:eastAsiaTheme="minorEastAsia"/>
                <w:sz w:val="21"/>
                <w:szCs w:val="21"/>
                <w:vertAlign w:val="baseline"/>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课程明确教学内容，制定教学大纲和教学计划。公共、专业、社会实践（“游学养”）课程齐全并自成体系，有地域特色课程。开展线上（远程）协同教学。</w:t>
            </w:r>
          </w:p>
        </w:tc>
        <w:tc>
          <w:tcPr>
            <w:tcW w:w="800" w:type="dxa"/>
            <w:vAlign w:val="center"/>
          </w:tcPr>
          <w:p w14:paraId="1B07866D">
            <w:pPr>
              <w:numPr>
                <w:ilvl w:val="0"/>
                <w:numId w:val="0"/>
              </w:numPr>
              <w:ind w:left="0" w:leftChars="0" w:firstLine="0" w:firstLineChars="0"/>
              <w:jc w:val="center"/>
              <w:rPr>
                <w:rFonts w:hint="default" w:ascii="方正仿宋_GBK" w:hAnsi="方正仿宋_GBK" w:eastAsia="方正仿宋_GBK" w:cs="方正仿宋_GBK"/>
                <w:b/>
                <w:bCs/>
                <w:color w:val="000000"/>
                <w:spacing w:val="0"/>
                <w:w w:val="100"/>
                <w:position w:val="0"/>
                <w:sz w:val="21"/>
                <w:szCs w:val="21"/>
                <w:lang w:val="en-US" w:eastAsia="zh-CN"/>
              </w:rPr>
            </w:pPr>
            <w:r>
              <w:rPr>
                <w:rFonts w:hint="eastAsia" w:ascii="方正仿宋_GBK" w:hAnsi="方正仿宋_GBK" w:eastAsia="方正仿宋_GBK" w:cs="方正仿宋_GBK"/>
                <w:b/>
                <w:bCs/>
                <w:color w:val="000000"/>
                <w:spacing w:val="0"/>
                <w:w w:val="100"/>
                <w:position w:val="0"/>
                <w:sz w:val="21"/>
                <w:szCs w:val="21"/>
                <w:lang w:val="en-US" w:eastAsia="zh-CN"/>
              </w:rPr>
              <w:t>通识课程</w:t>
            </w:r>
          </w:p>
        </w:tc>
        <w:tc>
          <w:tcPr>
            <w:tcW w:w="2890" w:type="dxa"/>
            <w:vAlign w:val="center"/>
          </w:tcPr>
          <w:p w14:paraId="0475802F">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23.结合学员学习、生活需求，每年至少开展16次通识（适老）课，并纳入整个课程教学体系。</w:t>
            </w:r>
          </w:p>
        </w:tc>
        <w:tc>
          <w:tcPr>
            <w:tcW w:w="2780" w:type="dxa"/>
            <w:vAlign w:val="center"/>
          </w:tcPr>
          <w:p w14:paraId="6FBF0446">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结合学员学习、生活需求，每年至少开展16次通识（适老）课，并纳入整个课程教学体系。</w:t>
            </w:r>
          </w:p>
        </w:tc>
        <w:tc>
          <w:tcPr>
            <w:tcW w:w="2890" w:type="dxa"/>
            <w:vAlign w:val="center"/>
          </w:tcPr>
          <w:p w14:paraId="1C1A32FF">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结合学员学习、生活需求，每年至少开展8次通识（适老）课，并纳入整个课程教学体系。</w:t>
            </w:r>
          </w:p>
        </w:tc>
        <w:tc>
          <w:tcPr>
            <w:tcW w:w="2700" w:type="dxa"/>
            <w:vAlign w:val="center"/>
          </w:tcPr>
          <w:p w14:paraId="2217C58A">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每年开展4次通识（适老）课，并纳入课程教学体系。</w:t>
            </w:r>
          </w:p>
        </w:tc>
      </w:tr>
      <w:tr w14:paraId="3ABE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840" w:type="dxa"/>
            <w:vMerge w:val="continue"/>
            <w:vAlign w:val="top"/>
          </w:tcPr>
          <w:p w14:paraId="2CFE0CE1">
            <w:pPr>
              <w:numPr>
                <w:ilvl w:val="0"/>
                <w:numId w:val="0"/>
              </w:numPr>
              <w:jc w:val="center"/>
              <w:rPr>
                <w:rFonts w:hint="default" w:ascii="方正仿宋_GBK" w:hAnsi="方正仿宋_GBK" w:eastAsia="方正仿宋_GBK" w:cs="方正仿宋_GBK"/>
                <w:b/>
                <w:bCs/>
                <w:sz w:val="30"/>
                <w:szCs w:val="30"/>
                <w:vertAlign w:val="baseline"/>
                <w:lang w:val="en-US" w:eastAsia="zh-CN"/>
              </w:rPr>
            </w:pPr>
          </w:p>
        </w:tc>
        <w:tc>
          <w:tcPr>
            <w:tcW w:w="950" w:type="dxa"/>
            <w:vMerge w:val="continue"/>
            <w:vAlign w:val="top"/>
          </w:tcPr>
          <w:p w14:paraId="32DCAA0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2130" w:type="dxa"/>
            <w:vMerge w:val="continue"/>
          </w:tcPr>
          <w:p w14:paraId="0184B47E">
            <w:pPr>
              <w:numPr>
                <w:ilvl w:val="0"/>
                <w:numId w:val="0"/>
              </w:numPr>
              <w:rPr>
                <w:rFonts w:hint="default" w:ascii="方正仿宋_GBK" w:hAnsi="方正仿宋_GBK" w:eastAsia="方正仿宋_GBK" w:cs="方正仿宋_GBK"/>
                <w:sz w:val="21"/>
                <w:szCs w:val="21"/>
                <w:vertAlign w:val="baseline"/>
                <w:lang w:val="en-US" w:eastAsia="zh-CN"/>
              </w:rPr>
            </w:pPr>
          </w:p>
        </w:tc>
        <w:tc>
          <w:tcPr>
            <w:tcW w:w="800" w:type="dxa"/>
            <w:vAlign w:val="center"/>
          </w:tcPr>
          <w:p w14:paraId="3BA561FE">
            <w:pPr>
              <w:numPr>
                <w:ilvl w:val="0"/>
                <w:numId w:val="0"/>
              </w:numPr>
              <w:ind w:left="0" w:leftChars="0" w:firstLine="0" w:firstLineChars="0"/>
              <w:jc w:val="center"/>
              <w:rPr>
                <w:rFonts w:hint="default" w:ascii="方正仿宋_GBK" w:hAnsi="方正仿宋_GBK" w:eastAsia="方正仿宋_GBK" w:cs="方正仿宋_GBK"/>
                <w:b/>
                <w:bCs/>
                <w:color w:val="000000"/>
                <w:spacing w:val="0"/>
                <w:w w:val="100"/>
                <w:position w:val="0"/>
                <w:sz w:val="21"/>
                <w:szCs w:val="21"/>
                <w:lang w:val="en-US" w:eastAsia="zh-CN"/>
              </w:rPr>
            </w:pPr>
            <w:r>
              <w:rPr>
                <w:rFonts w:hint="eastAsia" w:ascii="方正仿宋_GBK" w:hAnsi="方正仿宋_GBK" w:eastAsia="方正仿宋_GBK" w:cs="方正仿宋_GBK"/>
                <w:b/>
                <w:bCs/>
                <w:color w:val="000000"/>
                <w:spacing w:val="0"/>
                <w:w w:val="100"/>
                <w:position w:val="0"/>
                <w:sz w:val="21"/>
                <w:szCs w:val="21"/>
                <w:lang w:val="en-US" w:eastAsia="zh-CN"/>
              </w:rPr>
              <w:t>精品课程</w:t>
            </w:r>
          </w:p>
        </w:tc>
        <w:tc>
          <w:tcPr>
            <w:tcW w:w="2890" w:type="dxa"/>
            <w:vAlign w:val="center"/>
          </w:tcPr>
          <w:p w14:paraId="71F108BF">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24.开设具有吸引力、影响力的高质量精品课程。近三年，至少开设10门精品课程。</w:t>
            </w:r>
          </w:p>
        </w:tc>
        <w:tc>
          <w:tcPr>
            <w:tcW w:w="2780" w:type="dxa"/>
            <w:vAlign w:val="center"/>
          </w:tcPr>
          <w:p w14:paraId="39872F3B">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开设具有吸引力、影响力的高质量精品课程。近三年，至少开设6门精品课程。</w:t>
            </w:r>
          </w:p>
        </w:tc>
        <w:tc>
          <w:tcPr>
            <w:tcW w:w="2890" w:type="dxa"/>
            <w:vAlign w:val="center"/>
          </w:tcPr>
          <w:p w14:paraId="145FB498">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开设具有吸引力、影响力的高质量精品课程。近三年，至少开设2门精品课程。</w:t>
            </w:r>
          </w:p>
        </w:tc>
        <w:tc>
          <w:tcPr>
            <w:tcW w:w="2700" w:type="dxa"/>
            <w:vAlign w:val="center"/>
          </w:tcPr>
          <w:p w14:paraId="7F1D586C">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根据自身实际，培育精品课程。</w:t>
            </w:r>
          </w:p>
        </w:tc>
      </w:tr>
      <w:tr w14:paraId="51FC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vAlign w:val="top"/>
          </w:tcPr>
          <w:p w14:paraId="64370763">
            <w:pPr>
              <w:numPr>
                <w:ilvl w:val="0"/>
                <w:numId w:val="0"/>
              </w:numPr>
              <w:jc w:val="center"/>
              <w:rPr>
                <w:rFonts w:hint="default" w:ascii="方正仿宋_GBK" w:hAnsi="方正仿宋_GBK" w:eastAsia="方正仿宋_GBK" w:cs="方正仿宋_GBK"/>
                <w:b/>
                <w:bCs/>
                <w:sz w:val="30"/>
                <w:szCs w:val="30"/>
                <w:vertAlign w:val="baseline"/>
                <w:lang w:val="en-US" w:eastAsia="zh-CN"/>
              </w:rPr>
            </w:pPr>
          </w:p>
        </w:tc>
        <w:tc>
          <w:tcPr>
            <w:tcW w:w="950" w:type="dxa"/>
            <w:vMerge w:val="continue"/>
            <w:vAlign w:val="top"/>
          </w:tcPr>
          <w:p w14:paraId="7ADF15B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2130" w:type="dxa"/>
            <w:vMerge w:val="continue"/>
          </w:tcPr>
          <w:p w14:paraId="2C9EFCB9">
            <w:pPr>
              <w:numPr>
                <w:ilvl w:val="0"/>
                <w:numId w:val="0"/>
              </w:numPr>
              <w:rPr>
                <w:rFonts w:hint="default" w:ascii="方正仿宋_GBK" w:hAnsi="方正仿宋_GBK" w:eastAsia="方正仿宋_GBK" w:cs="方正仿宋_GBK"/>
                <w:sz w:val="21"/>
                <w:szCs w:val="21"/>
                <w:vertAlign w:val="baseline"/>
                <w:lang w:val="en-US" w:eastAsia="zh-CN"/>
              </w:rPr>
            </w:pPr>
          </w:p>
        </w:tc>
        <w:tc>
          <w:tcPr>
            <w:tcW w:w="800" w:type="dxa"/>
            <w:vAlign w:val="center"/>
          </w:tcPr>
          <w:p w14:paraId="2491E7D4">
            <w:pPr>
              <w:numPr>
                <w:ilvl w:val="0"/>
                <w:numId w:val="0"/>
              </w:numPr>
              <w:ind w:left="0" w:leftChars="0" w:firstLine="0" w:firstLineChars="0"/>
              <w:jc w:val="center"/>
              <w:rPr>
                <w:rFonts w:hint="default" w:ascii="方正仿宋_GBK" w:hAnsi="方正仿宋_GBK" w:eastAsia="方正仿宋_GBK" w:cs="方正仿宋_GBK"/>
                <w:b/>
                <w:bCs/>
                <w:color w:val="000000"/>
                <w:spacing w:val="0"/>
                <w:w w:val="100"/>
                <w:position w:val="0"/>
                <w:sz w:val="21"/>
                <w:szCs w:val="21"/>
                <w:lang w:val="en-US" w:eastAsia="zh-CN"/>
              </w:rPr>
            </w:pPr>
            <w:r>
              <w:rPr>
                <w:rFonts w:hint="eastAsia" w:ascii="方正仿宋_GBK" w:hAnsi="方正仿宋_GBK" w:eastAsia="方正仿宋_GBK" w:cs="方正仿宋_GBK"/>
                <w:b/>
                <w:bCs/>
                <w:color w:val="000000"/>
                <w:spacing w:val="0"/>
                <w:w w:val="100"/>
                <w:position w:val="0"/>
                <w:sz w:val="21"/>
                <w:szCs w:val="21"/>
                <w:lang w:val="en-US" w:eastAsia="zh-CN"/>
              </w:rPr>
              <w:t>特色课程</w:t>
            </w:r>
          </w:p>
        </w:tc>
        <w:tc>
          <w:tcPr>
            <w:tcW w:w="2890" w:type="dxa"/>
            <w:vAlign w:val="center"/>
          </w:tcPr>
          <w:p w14:paraId="30DB1C63">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25.基于校园文化和地域特点，近三年培育并开设不少于8门特色课程。开设智能技术教育课程。</w:t>
            </w:r>
          </w:p>
        </w:tc>
        <w:tc>
          <w:tcPr>
            <w:tcW w:w="2780" w:type="dxa"/>
            <w:vAlign w:val="center"/>
          </w:tcPr>
          <w:p w14:paraId="30A4F487">
            <w:pPr>
              <w:numPr>
                <w:ilvl w:val="0"/>
                <w:numId w:val="0"/>
              </w:numPr>
              <w:jc w:val="both"/>
              <w:rPr>
                <w:rFonts w:hint="eastAsia" w:ascii="方正仿宋_GBK" w:hAnsi="方正仿宋_GBK" w:eastAsia="方正仿宋_GBK" w:cs="方正仿宋_GBK"/>
                <w:color w:val="000000"/>
                <w:spacing w:val="0"/>
                <w:w w:val="100"/>
                <w:position w:val="0"/>
                <w:sz w:val="21"/>
                <w:szCs w:val="21"/>
              </w:rPr>
            </w:pPr>
            <w:r>
              <w:rPr>
                <w:rFonts w:hint="eastAsia" w:ascii="方正仿宋_GBK" w:hAnsi="方正仿宋_GBK" w:eastAsia="方正仿宋_GBK" w:cs="方正仿宋_GBK"/>
                <w:color w:val="000000"/>
                <w:spacing w:val="0"/>
                <w:w w:val="100"/>
                <w:position w:val="0"/>
                <w:sz w:val="21"/>
                <w:szCs w:val="21"/>
                <w:lang w:val="en-US" w:eastAsia="zh-CN"/>
              </w:rPr>
              <w:t>基于校园文化和地域特点，近三年培育并开设不少于5门特色课程。开设智能技术教育课程。</w:t>
            </w:r>
          </w:p>
        </w:tc>
        <w:tc>
          <w:tcPr>
            <w:tcW w:w="2890" w:type="dxa"/>
            <w:vAlign w:val="center"/>
          </w:tcPr>
          <w:p w14:paraId="10D6DC8A">
            <w:pPr>
              <w:numPr>
                <w:ilvl w:val="0"/>
                <w:numId w:val="0"/>
              </w:numPr>
              <w:jc w:val="both"/>
              <w:rPr>
                <w:rFonts w:hint="eastAsia" w:ascii="方正仿宋_GBK" w:hAnsi="方正仿宋_GBK" w:eastAsia="方正仿宋_GBK" w:cs="方正仿宋_GBK"/>
                <w:color w:val="000000"/>
                <w:spacing w:val="0"/>
                <w:w w:val="100"/>
                <w:position w:val="0"/>
                <w:sz w:val="21"/>
                <w:szCs w:val="21"/>
              </w:rPr>
            </w:pPr>
            <w:r>
              <w:rPr>
                <w:rFonts w:hint="eastAsia" w:ascii="方正仿宋_GBK" w:hAnsi="方正仿宋_GBK" w:eastAsia="方正仿宋_GBK" w:cs="方正仿宋_GBK"/>
                <w:color w:val="000000"/>
                <w:spacing w:val="0"/>
                <w:w w:val="100"/>
                <w:position w:val="0"/>
                <w:sz w:val="21"/>
                <w:szCs w:val="21"/>
                <w:lang w:val="en-US" w:eastAsia="zh-CN"/>
              </w:rPr>
              <w:t>基于校园文化和地域特点，近三年培育并开设不少于2门特色课程。开设智能技术教育课程。</w:t>
            </w:r>
          </w:p>
        </w:tc>
        <w:tc>
          <w:tcPr>
            <w:tcW w:w="2700" w:type="dxa"/>
            <w:vAlign w:val="center"/>
          </w:tcPr>
          <w:p w14:paraId="133CC594">
            <w:pPr>
              <w:numPr>
                <w:ilvl w:val="0"/>
                <w:numId w:val="0"/>
              </w:numPr>
              <w:jc w:val="both"/>
              <w:rPr>
                <w:rFonts w:hint="eastAsia" w:ascii="方正仿宋_GBK" w:hAnsi="方正仿宋_GBK" w:eastAsia="方正仿宋_GBK" w:cs="方正仿宋_GBK"/>
                <w:color w:val="000000"/>
                <w:spacing w:val="0"/>
                <w:w w:val="100"/>
                <w:position w:val="0"/>
                <w:sz w:val="21"/>
                <w:szCs w:val="21"/>
              </w:rPr>
            </w:pPr>
            <w:r>
              <w:rPr>
                <w:rFonts w:hint="eastAsia" w:ascii="方正仿宋_GBK" w:hAnsi="方正仿宋_GBK" w:eastAsia="方正仿宋_GBK" w:cs="方正仿宋_GBK"/>
                <w:color w:val="000000"/>
                <w:spacing w:val="0"/>
                <w:w w:val="100"/>
                <w:position w:val="0"/>
                <w:sz w:val="21"/>
                <w:szCs w:val="21"/>
                <w:lang w:val="en-US" w:eastAsia="zh-CN"/>
              </w:rPr>
              <w:t>整合地方文化资源，打造特色课程。开设智能技术教育课程。</w:t>
            </w:r>
          </w:p>
        </w:tc>
      </w:tr>
      <w:tr w14:paraId="330D7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840" w:type="dxa"/>
            <w:vMerge w:val="continue"/>
            <w:vAlign w:val="top"/>
          </w:tcPr>
          <w:p w14:paraId="765EC36F">
            <w:pPr>
              <w:numPr>
                <w:ilvl w:val="0"/>
                <w:numId w:val="0"/>
              </w:numPr>
              <w:jc w:val="center"/>
              <w:rPr>
                <w:rFonts w:hint="default" w:ascii="方正仿宋_GBK" w:hAnsi="方正仿宋_GBK" w:eastAsia="方正仿宋_GBK" w:cs="方正仿宋_GBK"/>
                <w:b/>
                <w:bCs/>
                <w:sz w:val="30"/>
                <w:szCs w:val="30"/>
                <w:vertAlign w:val="baseline"/>
                <w:lang w:val="en-US" w:eastAsia="zh-CN"/>
              </w:rPr>
            </w:pPr>
          </w:p>
        </w:tc>
        <w:tc>
          <w:tcPr>
            <w:tcW w:w="950" w:type="dxa"/>
            <w:vMerge w:val="continue"/>
            <w:vAlign w:val="top"/>
          </w:tcPr>
          <w:p w14:paraId="7A85956D">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2130" w:type="dxa"/>
            <w:vMerge w:val="continue"/>
          </w:tcPr>
          <w:p w14:paraId="4FF6418B">
            <w:pPr>
              <w:numPr>
                <w:ilvl w:val="0"/>
                <w:numId w:val="0"/>
              </w:numPr>
              <w:rPr>
                <w:rFonts w:hint="default" w:ascii="方正仿宋_GBK" w:hAnsi="方正仿宋_GBK" w:eastAsia="方正仿宋_GBK" w:cs="方正仿宋_GBK"/>
                <w:sz w:val="21"/>
                <w:szCs w:val="21"/>
                <w:vertAlign w:val="baseline"/>
                <w:lang w:val="en-US" w:eastAsia="zh-CN"/>
              </w:rPr>
            </w:pPr>
          </w:p>
        </w:tc>
        <w:tc>
          <w:tcPr>
            <w:tcW w:w="800" w:type="dxa"/>
            <w:vAlign w:val="center"/>
          </w:tcPr>
          <w:p w14:paraId="0EA8DFFA">
            <w:pPr>
              <w:numPr>
                <w:ilvl w:val="0"/>
                <w:numId w:val="0"/>
              </w:numPr>
              <w:ind w:left="0" w:leftChars="0" w:firstLine="0" w:firstLineChars="0"/>
              <w:jc w:val="center"/>
              <w:rPr>
                <w:rFonts w:hint="default" w:ascii="方正仿宋_GBK" w:hAnsi="方正仿宋_GBK" w:eastAsia="方正仿宋_GBK" w:cs="方正仿宋_GBK"/>
                <w:b/>
                <w:bCs/>
                <w:color w:val="000000"/>
                <w:spacing w:val="0"/>
                <w:w w:val="100"/>
                <w:position w:val="0"/>
                <w:sz w:val="21"/>
                <w:szCs w:val="21"/>
                <w:lang w:val="en-US" w:eastAsia="zh-CN"/>
              </w:rPr>
            </w:pPr>
            <w:r>
              <w:rPr>
                <w:rFonts w:hint="eastAsia" w:ascii="方正仿宋_GBK" w:hAnsi="方正仿宋_GBK" w:eastAsia="方正仿宋_GBK" w:cs="方正仿宋_GBK"/>
                <w:b/>
                <w:bCs/>
                <w:color w:val="000000"/>
                <w:spacing w:val="0"/>
                <w:w w:val="100"/>
                <w:position w:val="0"/>
                <w:sz w:val="21"/>
                <w:szCs w:val="21"/>
                <w:lang w:val="en-US" w:eastAsia="zh-CN"/>
              </w:rPr>
              <w:t>远程教育</w:t>
            </w:r>
          </w:p>
        </w:tc>
        <w:tc>
          <w:tcPr>
            <w:tcW w:w="2890" w:type="dxa"/>
            <w:vAlign w:val="center"/>
          </w:tcPr>
          <w:p w14:paraId="4F14FD1D">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26.充分发挥安徽老年远程教育网主渠道作用，积极开展远程教育和线上教学。近三年至少开设14门网络课程。</w:t>
            </w:r>
          </w:p>
        </w:tc>
        <w:tc>
          <w:tcPr>
            <w:tcW w:w="2780" w:type="dxa"/>
            <w:vAlign w:val="center"/>
          </w:tcPr>
          <w:p w14:paraId="63532AD4">
            <w:pPr>
              <w:numPr>
                <w:ilvl w:val="0"/>
                <w:numId w:val="0"/>
              </w:numPr>
              <w:jc w:val="both"/>
              <w:rPr>
                <w:rFonts w:hint="eastAsia" w:ascii="方正仿宋_GBK" w:hAnsi="方正仿宋_GBK" w:eastAsia="方正仿宋_GBK" w:cs="方正仿宋_GBK"/>
                <w:color w:val="000000"/>
                <w:spacing w:val="0"/>
                <w:w w:val="100"/>
                <w:position w:val="0"/>
                <w:sz w:val="21"/>
                <w:szCs w:val="21"/>
              </w:rPr>
            </w:pPr>
            <w:r>
              <w:rPr>
                <w:rFonts w:hint="eastAsia" w:ascii="方正仿宋_GBK" w:hAnsi="方正仿宋_GBK" w:eastAsia="方正仿宋_GBK" w:cs="方正仿宋_GBK"/>
                <w:color w:val="000000"/>
                <w:spacing w:val="0"/>
                <w:w w:val="100"/>
                <w:position w:val="0"/>
                <w:sz w:val="21"/>
                <w:szCs w:val="21"/>
                <w:lang w:val="en-US" w:eastAsia="zh-CN"/>
              </w:rPr>
              <w:t>充分发挥安徽老年远程教育网主渠道作用，积极开展远程教育或线上教学。近三年至少开设10门网络课程。</w:t>
            </w:r>
          </w:p>
        </w:tc>
        <w:tc>
          <w:tcPr>
            <w:tcW w:w="2890" w:type="dxa"/>
            <w:vAlign w:val="center"/>
          </w:tcPr>
          <w:p w14:paraId="79C97E7C">
            <w:pPr>
              <w:numPr>
                <w:ilvl w:val="0"/>
                <w:numId w:val="0"/>
              </w:numPr>
              <w:jc w:val="both"/>
              <w:rPr>
                <w:rFonts w:hint="eastAsia" w:ascii="方正仿宋_GBK" w:hAnsi="方正仿宋_GBK" w:eastAsia="方正仿宋_GBK" w:cs="方正仿宋_GBK"/>
                <w:color w:val="000000"/>
                <w:spacing w:val="0"/>
                <w:w w:val="100"/>
                <w:position w:val="0"/>
                <w:sz w:val="21"/>
                <w:szCs w:val="21"/>
              </w:rPr>
            </w:pPr>
            <w:r>
              <w:rPr>
                <w:rFonts w:hint="eastAsia" w:ascii="方正仿宋_GBK" w:hAnsi="方正仿宋_GBK" w:eastAsia="方正仿宋_GBK" w:cs="方正仿宋_GBK"/>
                <w:color w:val="000000"/>
                <w:spacing w:val="0"/>
                <w:w w:val="100"/>
                <w:position w:val="0"/>
                <w:sz w:val="21"/>
                <w:szCs w:val="21"/>
                <w:lang w:val="en-US" w:eastAsia="zh-CN"/>
              </w:rPr>
              <w:t>充分发挥安徽老年远程教育网主渠道作用，积极开展远程教育或线上教学。近三年至少开设6门网络课程。</w:t>
            </w:r>
          </w:p>
        </w:tc>
        <w:tc>
          <w:tcPr>
            <w:tcW w:w="2700" w:type="dxa"/>
            <w:vAlign w:val="center"/>
          </w:tcPr>
          <w:p w14:paraId="7086D25F">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充分发挥安徽老年远程教育网主渠道作用，积极开展远程教育。远程教育课程占总课程1/3左右。</w:t>
            </w:r>
          </w:p>
        </w:tc>
      </w:tr>
      <w:tr w14:paraId="1A82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840" w:type="dxa"/>
            <w:vMerge w:val="continue"/>
            <w:vAlign w:val="top"/>
          </w:tcPr>
          <w:p w14:paraId="3D2EFE9B">
            <w:pPr>
              <w:numPr>
                <w:ilvl w:val="0"/>
                <w:numId w:val="0"/>
              </w:numPr>
              <w:jc w:val="center"/>
              <w:rPr>
                <w:rFonts w:hint="default" w:ascii="方正仿宋_GBK" w:hAnsi="方正仿宋_GBK" w:eastAsia="方正仿宋_GBK" w:cs="方正仿宋_GBK"/>
                <w:b/>
                <w:bCs/>
                <w:sz w:val="30"/>
                <w:szCs w:val="30"/>
                <w:vertAlign w:val="baseline"/>
                <w:lang w:val="en-US" w:eastAsia="zh-CN"/>
              </w:rPr>
            </w:pPr>
          </w:p>
        </w:tc>
        <w:tc>
          <w:tcPr>
            <w:tcW w:w="950" w:type="dxa"/>
            <w:vMerge w:val="continue"/>
            <w:vAlign w:val="top"/>
          </w:tcPr>
          <w:p w14:paraId="7379652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2130" w:type="dxa"/>
            <w:vMerge w:val="continue"/>
          </w:tcPr>
          <w:p w14:paraId="0AC27888">
            <w:pPr>
              <w:numPr>
                <w:ilvl w:val="0"/>
                <w:numId w:val="0"/>
              </w:numPr>
              <w:rPr>
                <w:rFonts w:hint="default" w:ascii="方正仿宋_GBK" w:hAnsi="方正仿宋_GBK" w:eastAsia="方正仿宋_GBK" w:cs="方正仿宋_GBK"/>
                <w:sz w:val="21"/>
                <w:szCs w:val="21"/>
                <w:vertAlign w:val="baseline"/>
                <w:lang w:val="en-US" w:eastAsia="zh-CN"/>
              </w:rPr>
            </w:pPr>
          </w:p>
        </w:tc>
        <w:tc>
          <w:tcPr>
            <w:tcW w:w="800" w:type="dxa"/>
          </w:tcPr>
          <w:p w14:paraId="037DA098">
            <w:pPr>
              <w:numPr>
                <w:ilvl w:val="0"/>
                <w:numId w:val="0"/>
              </w:numPr>
              <w:ind w:left="0" w:leftChars="0" w:firstLine="0" w:firstLineChars="0"/>
              <w:jc w:val="center"/>
              <w:rPr>
                <w:rFonts w:hint="eastAsia" w:ascii="方正仿宋_GBK" w:hAnsi="方正仿宋_GBK" w:eastAsia="方正仿宋_GBK" w:cs="方正仿宋_GBK"/>
                <w:b/>
                <w:bCs/>
                <w:color w:val="000000"/>
                <w:spacing w:val="0"/>
                <w:w w:val="100"/>
                <w:position w:val="0"/>
                <w:sz w:val="21"/>
                <w:szCs w:val="21"/>
                <w:lang w:val="en-US" w:eastAsia="zh-CN"/>
              </w:rPr>
            </w:pPr>
            <w:r>
              <w:rPr>
                <w:rFonts w:hint="eastAsia" w:ascii="方正仿宋_GBK" w:hAnsi="方正仿宋_GBK" w:eastAsia="方正仿宋_GBK" w:cs="方正仿宋_GBK"/>
                <w:b/>
                <w:bCs/>
                <w:color w:val="000000"/>
                <w:spacing w:val="0"/>
                <w:w w:val="100"/>
                <w:position w:val="0"/>
                <w:sz w:val="21"/>
                <w:szCs w:val="21"/>
                <w:lang w:val="en-US" w:eastAsia="zh-CN"/>
              </w:rPr>
              <w:t>实践课程</w:t>
            </w:r>
          </w:p>
          <w:p w14:paraId="56932342">
            <w:pPr>
              <w:numPr>
                <w:ilvl w:val="0"/>
                <w:numId w:val="0"/>
              </w:numPr>
              <w:ind w:left="0" w:leftChars="0" w:firstLine="0" w:firstLineChars="0"/>
              <w:jc w:val="center"/>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b/>
                <w:bCs/>
                <w:color w:val="000000"/>
                <w:spacing w:val="0"/>
                <w:w w:val="100"/>
                <w:position w:val="0"/>
                <w:sz w:val="21"/>
                <w:szCs w:val="21"/>
                <w:lang w:val="en-US" w:eastAsia="zh-CN"/>
              </w:rPr>
              <w:t>&amp;“游学养”课程</w:t>
            </w:r>
          </w:p>
        </w:tc>
        <w:tc>
          <w:tcPr>
            <w:tcW w:w="2890" w:type="dxa"/>
            <w:vAlign w:val="center"/>
          </w:tcPr>
          <w:p w14:paraId="5D024270">
            <w:pPr>
              <w:numPr>
                <w:ilvl w:val="0"/>
                <w:numId w:val="0"/>
              </w:numPr>
              <w:jc w:val="both"/>
              <w:rPr>
                <w:rFonts w:hint="eastAsia" w:ascii="方正仿宋_GBK" w:hAnsi="方正仿宋_GBK" w:cs="方正仿宋_GBK" w:eastAsiaTheme="minorEastAsia"/>
                <w:color w:val="000000"/>
                <w:spacing w:val="0"/>
                <w:w w:val="100"/>
                <w:position w:val="0"/>
                <w:sz w:val="21"/>
                <w:szCs w:val="21"/>
                <w:lang w:eastAsia="zh-CN"/>
              </w:rPr>
            </w:pPr>
            <w:r>
              <w:rPr>
                <w:rFonts w:hint="eastAsia" w:ascii="方正仿宋_GBK" w:hAnsi="方正仿宋_GBK" w:eastAsia="方正仿宋_GBK" w:cs="方正仿宋_GBK"/>
                <w:color w:val="000000"/>
                <w:spacing w:val="0"/>
                <w:w w:val="100"/>
                <w:position w:val="0"/>
                <w:sz w:val="21"/>
                <w:szCs w:val="21"/>
                <w:lang w:val="en-US" w:eastAsia="zh-CN"/>
              </w:rPr>
              <w:t>27.积极开展第二、第三课堂活动或“游学养”等多种形式的教学实践，每年至少开展10次及以上实践教学活动。</w:t>
            </w:r>
          </w:p>
        </w:tc>
        <w:tc>
          <w:tcPr>
            <w:tcW w:w="2780" w:type="dxa"/>
            <w:vAlign w:val="center"/>
          </w:tcPr>
          <w:p w14:paraId="07B3E55A">
            <w:pPr>
              <w:numPr>
                <w:ilvl w:val="0"/>
                <w:numId w:val="0"/>
              </w:numPr>
              <w:jc w:val="both"/>
              <w:rPr>
                <w:rFonts w:hint="eastAsia" w:ascii="方正仿宋_GBK" w:hAnsi="方正仿宋_GBK" w:eastAsia="方正仿宋_GBK" w:cs="方正仿宋_GBK"/>
                <w:color w:val="000000"/>
                <w:spacing w:val="0"/>
                <w:w w:val="100"/>
                <w:position w:val="0"/>
                <w:sz w:val="21"/>
                <w:szCs w:val="21"/>
              </w:rPr>
            </w:pPr>
            <w:r>
              <w:rPr>
                <w:rFonts w:hint="eastAsia" w:ascii="方正仿宋_GBK" w:hAnsi="方正仿宋_GBK" w:eastAsia="方正仿宋_GBK" w:cs="方正仿宋_GBK"/>
                <w:color w:val="000000"/>
                <w:spacing w:val="0"/>
                <w:w w:val="100"/>
                <w:position w:val="0"/>
                <w:sz w:val="21"/>
                <w:szCs w:val="21"/>
                <w:lang w:val="en-US" w:eastAsia="zh-CN"/>
              </w:rPr>
              <w:t>积极开展第二、第三课堂活动或“游学养”等多种形式的教学实践，每年至少开展6次及以上实践教学活动。</w:t>
            </w:r>
          </w:p>
        </w:tc>
        <w:tc>
          <w:tcPr>
            <w:tcW w:w="2890" w:type="dxa"/>
            <w:vAlign w:val="center"/>
          </w:tcPr>
          <w:p w14:paraId="0D0E1CB2">
            <w:pPr>
              <w:numPr>
                <w:ilvl w:val="0"/>
                <w:numId w:val="0"/>
              </w:numPr>
              <w:jc w:val="both"/>
              <w:rPr>
                <w:rFonts w:hint="eastAsia" w:ascii="方正仿宋_GBK" w:hAnsi="方正仿宋_GBK" w:eastAsia="方正仿宋_GBK" w:cs="方正仿宋_GBK"/>
                <w:color w:val="000000"/>
                <w:spacing w:val="0"/>
                <w:w w:val="100"/>
                <w:position w:val="0"/>
                <w:sz w:val="21"/>
                <w:szCs w:val="21"/>
              </w:rPr>
            </w:pPr>
            <w:r>
              <w:rPr>
                <w:rFonts w:hint="eastAsia" w:ascii="方正仿宋_GBK" w:hAnsi="方正仿宋_GBK" w:eastAsia="方正仿宋_GBK" w:cs="方正仿宋_GBK"/>
                <w:color w:val="000000"/>
                <w:spacing w:val="0"/>
                <w:w w:val="100"/>
                <w:position w:val="0"/>
                <w:sz w:val="21"/>
                <w:szCs w:val="21"/>
                <w:lang w:val="en-US" w:eastAsia="zh-CN"/>
              </w:rPr>
              <w:t>积极开展第二、第三课堂活动或“游学养”等多种形式的教学实践，每年至少开展4次及以上实践教学活动。</w:t>
            </w:r>
          </w:p>
        </w:tc>
        <w:tc>
          <w:tcPr>
            <w:tcW w:w="2700" w:type="dxa"/>
            <w:vAlign w:val="center"/>
          </w:tcPr>
          <w:p w14:paraId="1F891B5A">
            <w:pPr>
              <w:numPr>
                <w:ilvl w:val="0"/>
                <w:numId w:val="0"/>
              </w:numPr>
              <w:jc w:val="both"/>
              <w:rPr>
                <w:rFonts w:hint="eastAsia" w:ascii="方正仿宋_GBK" w:hAnsi="方正仿宋_GBK" w:eastAsia="方正仿宋_GBK" w:cs="方正仿宋_GBK"/>
                <w:color w:val="000000"/>
                <w:spacing w:val="0"/>
                <w:w w:val="100"/>
                <w:position w:val="0"/>
                <w:sz w:val="21"/>
                <w:szCs w:val="21"/>
              </w:rPr>
            </w:pPr>
            <w:r>
              <w:rPr>
                <w:rFonts w:hint="eastAsia" w:ascii="方正仿宋_GBK" w:hAnsi="方正仿宋_GBK" w:eastAsia="方正仿宋_GBK" w:cs="方正仿宋_GBK"/>
                <w:color w:val="000000"/>
                <w:spacing w:val="0"/>
                <w:w w:val="100"/>
                <w:position w:val="0"/>
                <w:sz w:val="21"/>
                <w:szCs w:val="21"/>
                <w:lang w:val="en-US" w:eastAsia="zh-CN"/>
              </w:rPr>
              <w:t>结合实际，每学年至少开展1至2次实践教学活动。</w:t>
            </w:r>
          </w:p>
        </w:tc>
      </w:tr>
      <w:tr w14:paraId="5931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vAlign w:val="top"/>
          </w:tcPr>
          <w:p w14:paraId="6D08A72E">
            <w:pPr>
              <w:numPr>
                <w:ilvl w:val="0"/>
                <w:numId w:val="0"/>
              </w:numPr>
              <w:jc w:val="center"/>
              <w:rPr>
                <w:rFonts w:hint="default" w:ascii="方正仿宋_GBK" w:hAnsi="方正仿宋_GBK" w:eastAsia="方正仿宋_GBK" w:cs="方正仿宋_GBK"/>
                <w:b/>
                <w:bCs/>
                <w:sz w:val="30"/>
                <w:szCs w:val="30"/>
                <w:vertAlign w:val="baseline"/>
                <w:lang w:val="en-US" w:eastAsia="zh-CN"/>
              </w:rPr>
            </w:pPr>
          </w:p>
        </w:tc>
        <w:tc>
          <w:tcPr>
            <w:tcW w:w="950" w:type="dxa"/>
            <w:vMerge w:val="restart"/>
            <w:vAlign w:val="center"/>
          </w:tcPr>
          <w:p w14:paraId="33C494E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教材</w:t>
            </w:r>
          </w:p>
          <w:p w14:paraId="18D72C0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建设</w:t>
            </w:r>
          </w:p>
        </w:tc>
        <w:tc>
          <w:tcPr>
            <w:tcW w:w="2130" w:type="dxa"/>
            <w:vMerge w:val="restart"/>
            <w:vAlign w:val="center"/>
          </w:tcPr>
          <w:p w14:paraId="34B9AE46">
            <w:pPr>
              <w:numPr>
                <w:ilvl w:val="0"/>
                <w:numId w:val="0"/>
              </w:numPr>
              <w:jc w:val="both"/>
              <w:rPr>
                <w:rFonts w:hint="default" w:ascii="方正仿宋_GBK" w:hAnsi="方正仿宋_GBK" w:cs="方正仿宋_GBK" w:eastAsiaTheme="minorEastAsia"/>
                <w:sz w:val="21"/>
                <w:szCs w:val="21"/>
                <w:vertAlign w:val="baseline"/>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注重自主研发主要学科教材，采取与统编、自编、选用相结合形式，形成适合本校、本地区使用的配套教材，并集中归档管理。</w:t>
            </w:r>
          </w:p>
        </w:tc>
        <w:tc>
          <w:tcPr>
            <w:tcW w:w="800" w:type="dxa"/>
            <w:vAlign w:val="center"/>
          </w:tcPr>
          <w:p w14:paraId="5A2DA06E">
            <w:pPr>
              <w:numPr>
                <w:ilvl w:val="0"/>
                <w:numId w:val="0"/>
              </w:numPr>
              <w:ind w:left="0" w:leftChars="0" w:firstLine="0" w:firstLineChars="0"/>
              <w:jc w:val="center"/>
              <w:rPr>
                <w:rFonts w:hint="default" w:ascii="方正仿宋_GBK" w:hAnsi="方正仿宋_GBK" w:eastAsia="方正仿宋_GBK" w:cs="方正仿宋_GBK"/>
                <w:b/>
                <w:bCs/>
                <w:color w:val="000000"/>
                <w:spacing w:val="0"/>
                <w:w w:val="100"/>
                <w:position w:val="0"/>
                <w:sz w:val="21"/>
                <w:szCs w:val="21"/>
                <w:lang w:val="en-US" w:eastAsia="zh-CN"/>
              </w:rPr>
            </w:pPr>
            <w:r>
              <w:rPr>
                <w:rFonts w:hint="eastAsia" w:ascii="方正仿宋_GBK" w:hAnsi="方正仿宋_GBK" w:eastAsia="方正仿宋_GBK" w:cs="方正仿宋_GBK"/>
                <w:b/>
                <w:bCs/>
                <w:color w:val="000000"/>
                <w:spacing w:val="0"/>
                <w:w w:val="100"/>
                <w:position w:val="0"/>
                <w:sz w:val="21"/>
                <w:szCs w:val="21"/>
                <w:lang w:val="en-US" w:eastAsia="zh-CN"/>
              </w:rPr>
              <w:t>教材研发</w:t>
            </w:r>
          </w:p>
        </w:tc>
        <w:tc>
          <w:tcPr>
            <w:tcW w:w="2890" w:type="dxa"/>
            <w:vAlign w:val="center"/>
          </w:tcPr>
          <w:p w14:paraId="4C0D7974">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28.近五年，组织或参与教材研发出版或印刷不少于5本（套）。</w:t>
            </w:r>
          </w:p>
        </w:tc>
        <w:tc>
          <w:tcPr>
            <w:tcW w:w="2780" w:type="dxa"/>
            <w:vAlign w:val="center"/>
          </w:tcPr>
          <w:p w14:paraId="4338F501">
            <w:pPr>
              <w:numPr>
                <w:ilvl w:val="0"/>
                <w:numId w:val="0"/>
              </w:numPr>
              <w:jc w:val="both"/>
              <w:rPr>
                <w:rFonts w:hint="eastAsia" w:ascii="方正仿宋_GBK" w:hAnsi="方正仿宋_GBK" w:eastAsia="方正仿宋_GBK" w:cs="方正仿宋_GBK"/>
                <w:color w:val="000000"/>
                <w:spacing w:val="0"/>
                <w:w w:val="100"/>
                <w:position w:val="0"/>
                <w:sz w:val="21"/>
                <w:szCs w:val="21"/>
                <w:lang w:eastAsia="zh-CN"/>
              </w:rPr>
            </w:pPr>
            <w:r>
              <w:rPr>
                <w:rFonts w:hint="eastAsia" w:ascii="方正仿宋_GBK" w:hAnsi="方正仿宋_GBK" w:eastAsia="方正仿宋_GBK" w:cs="方正仿宋_GBK"/>
                <w:color w:val="000000"/>
                <w:spacing w:val="0"/>
                <w:w w:val="100"/>
                <w:position w:val="0"/>
                <w:sz w:val="21"/>
                <w:szCs w:val="21"/>
                <w:lang w:val="en-US" w:eastAsia="zh-CN"/>
              </w:rPr>
              <w:t>近五年，组织或参与教材研发出版或印刷不少于4本（套）。</w:t>
            </w:r>
          </w:p>
        </w:tc>
        <w:tc>
          <w:tcPr>
            <w:tcW w:w="2890" w:type="dxa"/>
            <w:vAlign w:val="center"/>
          </w:tcPr>
          <w:p w14:paraId="3F46C62B">
            <w:pPr>
              <w:numPr>
                <w:ilvl w:val="0"/>
                <w:numId w:val="0"/>
              </w:numPr>
              <w:jc w:val="both"/>
              <w:rPr>
                <w:rFonts w:hint="eastAsia" w:ascii="方正仿宋_GBK" w:hAnsi="方正仿宋_GBK" w:eastAsia="方正仿宋_GBK" w:cs="方正仿宋_GBK"/>
                <w:color w:val="000000"/>
                <w:spacing w:val="0"/>
                <w:w w:val="100"/>
                <w:position w:val="0"/>
                <w:sz w:val="21"/>
                <w:szCs w:val="21"/>
                <w:lang w:eastAsia="zh-CN"/>
              </w:rPr>
            </w:pPr>
            <w:r>
              <w:rPr>
                <w:rFonts w:hint="eastAsia" w:ascii="方正仿宋_GBK" w:hAnsi="方正仿宋_GBK" w:eastAsia="方正仿宋_GBK" w:cs="方正仿宋_GBK"/>
                <w:color w:val="000000"/>
                <w:spacing w:val="0"/>
                <w:w w:val="100"/>
                <w:position w:val="0"/>
                <w:sz w:val="21"/>
                <w:szCs w:val="21"/>
                <w:lang w:val="en-US" w:eastAsia="zh-CN"/>
              </w:rPr>
              <w:t>近五年，组织或参与教材研发出版或印刷不少于3本（套）。</w:t>
            </w:r>
          </w:p>
        </w:tc>
        <w:tc>
          <w:tcPr>
            <w:tcW w:w="2700" w:type="dxa"/>
            <w:vAlign w:val="center"/>
          </w:tcPr>
          <w:p w14:paraId="40B4F860">
            <w:pPr>
              <w:numPr>
                <w:ilvl w:val="0"/>
                <w:numId w:val="0"/>
              </w:numPr>
              <w:jc w:val="both"/>
              <w:rPr>
                <w:rFonts w:hint="eastAsia" w:ascii="方正仿宋_GBK" w:hAnsi="方正仿宋_GBK" w:eastAsia="方正仿宋_GBK" w:cs="方正仿宋_GBK"/>
                <w:color w:val="000000"/>
                <w:spacing w:val="0"/>
                <w:w w:val="100"/>
                <w:position w:val="0"/>
                <w:sz w:val="21"/>
                <w:szCs w:val="21"/>
                <w:lang w:eastAsia="zh-CN"/>
              </w:rPr>
            </w:pPr>
            <w:r>
              <w:rPr>
                <w:rFonts w:hint="eastAsia" w:ascii="方正仿宋_GBK" w:hAnsi="方正仿宋_GBK" w:eastAsia="方正仿宋_GBK" w:cs="方正仿宋_GBK"/>
                <w:color w:val="000000"/>
                <w:spacing w:val="0"/>
                <w:w w:val="100"/>
                <w:position w:val="0"/>
                <w:sz w:val="21"/>
                <w:szCs w:val="21"/>
                <w:lang w:val="en-US" w:eastAsia="zh-CN"/>
              </w:rPr>
              <w:t>近五年，自编讲义不少于1本（套）。</w:t>
            </w:r>
          </w:p>
        </w:tc>
      </w:tr>
      <w:tr w14:paraId="715C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840" w:type="dxa"/>
            <w:vMerge w:val="continue"/>
            <w:vAlign w:val="top"/>
          </w:tcPr>
          <w:p w14:paraId="3B13FB72">
            <w:pPr>
              <w:numPr>
                <w:ilvl w:val="0"/>
                <w:numId w:val="0"/>
              </w:numPr>
              <w:jc w:val="center"/>
              <w:rPr>
                <w:rFonts w:hint="default" w:ascii="方正仿宋_GBK" w:hAnsi="方正仿宋_GBK" w:eastAsia="方正仿宋_GBK" w:cs="方正仿宋_GBK"/>
                <w:b/>
                <w:bCs/>
                <w:sz w:val="30"/>
                <w:szCs w:val="30"/>
                <w:vertAlign w:val="baseline"/>
                <w:lang w:val="en-US" w:eastAsia="zh-CN"/>
              </w:rPr>
            </w:pPr>
          </w:p>
        </w:tc>
        <w:tc>
          <w:tcPr>
            <w:tcW w:w="950" w:type="dxa"/>
            <w:vMerge w:val="continue"/>
            <w:vAlign w:val="center"/>
          </w:tcPr>
          <w:p w14:paraId="1C1F2FF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2130" w:type="dxa"/>
            <w:vMerge w:val="continue"/>
          </w:tcPr>
          <w:p w14:paraId="4EA3B26F">
            <w:pPr>
              <w:numPr>
                <w:ilvl w:val="0"/>
                <w:numId w:val="0"/>
              </w:numPr>
              <w:rPr>
                <w:rFonts w:hint="default" w:ascii="方正仿宋_GBK" w:hAnsi="方正仿宋_GBK" w:eastAsia="方正仿宋_GBK" w:cs="方正仿宋_GBK"/>
                <w:sz w:val="21"/>
                <w:szCs w:val="21"/>
                <w:vertAlign w:val="baseline"/>
                <w:lang w:val="en-US" w:eastAsia="zh-CN"/>
              </w:rPr>
            </w:pPr>
          </w:p>
        </w:tc>
        <w:tc>
          <w:tcPr>
            <w:tcW w:w="800" w:type="dxa"/>
            <w:vAlign w:val="center"/>
          </w:tcPr>
          <w:p w14:paraId="7F9EF0AC">
            <w:pPr>
              <w:numPr>
                <w:ilvl w:val="0"/>
                <w:numId w:val="0"/>
              </w:numPr>
              <w:ind w:left="0" w:leftChars="0" w:firstLine="0" w:firstLineChars="0"/>
              <w:jc w:val="center"/>
              <w:rPr>
                <w:rFonts w:hint="default" w:ascii="方正仿宋_GBK" w:hAnsi="方正仿宋_GBK" w:eastAsia="方正仿宋_GBK" w:cs="方正仿宋_GBK"/>
                <w:b/>
                <w:bCs/>
                <w:color w:val="000000"/>
                <w:spacing w:val="0"/>
                <w:w w:val="100"/>
                <w:position w:val="0"/>
                <w:sz w:val="21"/>
                <w:szCs w:val="21"/>
                <w:lang w:val="en-US" w:eastAsia="zh-CN"/>
              </w:rPr>
            </w:pPr>
            <w:r>
              <w:rPr>
                <w:rFonts w:hint="eastAsia" w:ascii="方正仿宋_GBK" w:hAnsi="方正仿宋_GBK" w:eastAsia="方正仿宋_GBK" w:cs="方正仿宋_GBK"/>
                <w:b/>
                <w:bCs/>
                <w:color w:val="000000"/>
                <w:spacing w:val="0"/>
                <w:w w:val="100"/>
                <w:position w:val="0"/>
                <w:sz w:val="21"/>
                <w:szCs w:val="21"/>
                <w:lang w:val="en-US" w:eastAsia="zh-CN"/>
              </w:rPr>
              <w:t>教材使用</w:t>
            </w:r>
          </w:p>
        </w:tc>
        <w:tc>
          <w:tcPr>
            <w:tcW w:w="2890" w:type="dxa"/>
            <w:vAlign w:val="center"/>
          </w:tcPr>
          <w:p w14:paraId="629A146D">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29.通识类、专业类课程使用统编教材、专用教材或自编教材。</w:t>
            </w:r>
          </w:p>
        </w:tc>
        <w:tc>
          <w:tcPr>
            <w:tcW w:w="2780" w:type="dxa"/>
            <w:vAlign w:val="center"/>
          </w:tcPr>
          <w:p w14:paraId="6AC583FE">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通识类、专业类课程使用统编教材、专用教材或自编教材。</w:t>
            </w:r>
          </w:p>
        </w:tc>
        <w:tc>
          <w:tcPr>
            <w:tcW w:w="2890" w:type="dxa"/>
            <w:vAlign w:val="center"/>
          </w:tcPr>
          <w:p w14:paraId="5B4E4A27">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通识类、专业类课程使用统编教材、专用教材或自编教材。</w:t>
            </w:r>
          </w:p>
        </w:tc>
        <w:tc>
          <w:tcPr>
            <w:tcW w:w="2700" w:type="dxa"/>
            <w:vAlign w:val="center"/>
          </w:tcPr>
          <w:p w14:paraId="61458559">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通识类、专业类课程使用统编教材、专用教材或自编教材（讲义）。</w:t>
            </w:r>
          </w:p>
        </w:tc>
      </w:tr>
      <w:tr w14:paraId="75173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840" w:type="dxa"/>
            <w:vMerge w:val="continue"/>
            <w:vAlign w:val="top"/>
          </w:tcPr>
          <w:p w14:paraId="63E2DD4E">
            <w:pPr>
              <w:numPr>
                <w:ilvl w:val="0"/>
                <w:numId w:val="0"/>
              </w:numPr>
              <w:jc w:val="center"/>
              <w:rPr>
                <w:rFonts w:hint="default" w:ascii="方正仿宋_GBK" w:hAnsi="方正仿宋_GBK" w:eastAsia="方正仿宋_GBK" w:cs="方正仿宋_GBK"/>
                <w:b/>
                <w:bCs/>
                <w:sz w:val="30"/>
                <w:szCs w:val="30"/>
                <w:vertAlign w:val="baseline"/>
                <w:lang w:val="en-US" w:eastAsia="zh-CN"/>
              </w:rPr>
            </w:pPr>
          </w:p>
        </w:tc>
        <w:tc>
          <w:tcPr>
            <w:tcW w:w="950" w:type="dxa"/>
            <w:vMerge w:val="restart"/>
            <w:vAlign w:val="center"/>
          </w:tcPr>
          <w:p w14:paraId="5004F603">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000000"/>
                <w:spacing w:val="0"/>
                <w:w w:val="100"/>
                <w:position w:val="0"/>
                <w:sz w:val="24"/>
                <w:szCs w:val="24"/>
                <w:lang w:val="en-US" w:eastAsia="zh-CN"/>
              </w:rPr>
              <w:t>教学质量</w:t>
            </w:r>
            <w:r>
              <w:rPr>
                <w:rFonts w:hint="eastAsia" w:ascii="方正仿宋_GBK" w:hAnsi="方正仿宋_GBK" w:eastAsia="方正仿宋_GBK" w:cs="方正仿宋_GBK"/>
                <w:b/>
                <w:bCs/>
                <w:color w:val="000000"/>
                <w:spacing w:val="0"/>
                <w:w w:val="100"/>
                <w:position w:val="0"/>
                <w:sz w:val="24"/>
                <w:szCs w:val="24"/>
                <w:lang w:eastAsia="zh-CN"/>
              </w:rPr>
              <w:t>评价</w:t>
            </w:r>
          </w:p>
        </w:tc>
        <w:tc>
          <w:tcPr>
            <w:tcW w:w="2130" w:type="dxa"/>
            <w:vMerge w:val="restart"/>
            <w:vAlign w:val="center"/>
          </w:tcPr>
          <w:p w14:paraId="54632FF3">
            <w:pPr>
              <w:numPr>
                <w:ilvl w:val="0"/>
                <w:numId w:val="0"/>
              </w:numPr>
              <w:jc w:val="both"/>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建立适应新时代老年人继续学习和适应社会发展的教学评价标准和评价措施，不断提高教学质量。</w:t>
            </w:r>
          </w:p>
        </w:tc>
        <w:tc>
          <w:tcPr>
            <w:tcW w:w="800" w:type="dxa"/>
            <w:vAlign w:val="center"/>
          </w:tcPr>
          <w:p w14:paraId="45088400">
            <w:pPr>
              <w:numPr>
                <w:ilvl w:val="0"/>
                <w:numId w:val="0"/>
              </w:numPr>
              <w:ind w:left="0" w:leftChars="0" w:firstLine="0" w:firstLineChars="0"/>
              <w:jc w:val="center"/>
              <w:rPr>
                <w:rFonts w:hint="default" w:ascii="方正仿宋_GBK" w:hAnsi="方正仿宋_GBK" w:eastAsia="方正仿宋_GBK" w:cs="方正仿宋_GBK"/>
                <w:b/>
                <w:bCs/>
                <w:color w:val="000000"/>
                <w:spacing w:val="0"/>
                <w:w w:val="100"/>
                <w:position w:val="0"/>
                <w:sz w:val="21"/>
                <w:szCs w:val="21"/>
                <w:lang w:val="en-US" w:eastAsia="zh-CN"/>
              </w:rPr>
            </w:pPr>
            <w:r>
              <w:rPr>
                <w:rFonts w:hint="eastAsia" w:ascii="方正仿宋_GBK" w:hAnsi="方正仿宋_GBK" w:eastAsia="方正仿宋_GBK" w:cs="方正仿宋_GBK"/>
                <w:b/>
                <w:bCs/>
                <w:color w:val="000000"/>
                <w:spacing w:val="0"/>
                <w:w w:val="100"/>
                <w:position w:val="0"/>
                <w:sz w:val="21"/>
                <w:szCs w:val="21"/>
                <w:lang w:val="en-US" w:eastAsia="zh-CN"/>
              </w:rPr>
              <w:t>分层教学</w:t>
            </w:r>
          </w:p>
        </w:tc>
        <w:tc>
          <w:tcPr>
            <w:tcW w:w="2890" w:type="dxa"/>
            <w:vAlign w:val="center"/>
          </w:tcPr>
          <w:p w14:paraId="74FA8046">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30.知识型课程实施“基础、提高、研修”层次性教学法。有分层教学课程4至6门。</w:t>
            </w:r>
          </w:p>
        </w:tc>
        <w:tc>
          <w:tcPr>
            <w:tcW w:w="2780" w:type="dxa"/>
            <w:vAlign w:val="center"/>
          </w:tcPr>
          <w:p w14:paraId="4E1AC0E9">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知识型课程实施“基础、提高、研修”层次性教学法。有分层教学课程2至4门。</w:t>
            </w:r>
          </w:p>
        </w:tc>
        <w:tc>
          <w:tcPr>
            <w:tcW w:w="2890" w:type="dxa"/>
            <w:vAlign w:val="center"/>
          </w:tcPr>
          <w:p w14:paraId="4070E68C">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知识型课程实施“基础、提高、研修”层次性教学法。有分层教学课程1至2门。</w:t>
            </w:r>
          </w:p>
        </w:tc>
        <w:tc>
          <w:tcPr>
            <w:tcW w:w="2700" w:type="dxa"/>
            <w:vAlign w:val="center"/>
          </w:tcPr>
          <w:p w14:paraId="28ED96C8">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结合实际情况，实行层次性教学法。</w:t>
            </w:r>
          </w:p>
        </w:tc>
      </w:tr>
      <w:tr w14:paraId="7635D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40" w:type="dxa"/>
            <w:vMerge w:val="continue"/>
            <w:vAlign w:val="top"/>
          </w:tcPr>
          <w:p w14:paraId="0CDB2118">
            <w:pPr>
              <w:numPr>
                <w:ilvl w:val="0"/>
                <w:numId w:val="0"/>
              </w:numPr>
              <w:jc w:val="center"/>
              <w:rPr>
                <w:rFonts w:hint="default" w:ascii="方正仿宋_GBK" w:hAnsi="方正仿宋_GBK" w:eastAsia="方正仿宋_GBK" w:cs="方正仿宋_GBK"/>
                <w:b/>
                <w:bCs/>
                <w:sz w:val="30"/>
                <w:szCs w:val="30"/>
                <w:vertAlign w:val="baseline"/>
                <w:lang w:val="en-US" w:eastAsia="zh-CN"/>
              </w:rPr>
            </w:pPr>
          </w:p>
        </w:tc>
        <w:tc>
          <w:tcPr>
            <w:tcW w:w="950" w:type="dxa"/>
            <w:vMerge w:val="continue"/>
            <w:vAlign w:val="top"/>
          </w:tcPr>
          <w:p w14:paraId="155D197E">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2130" w:type="dxa"/>
            <w:vMerge w:val="continue"/>
          </w:tcPr>
          <w:p w14:paraId="0CECD3FB">
            <w:pPr>
              <w:numPr>
                <w:ilvl w:val="0"/>
                <w:numId w:val="0"/>
              </w:numPr>
              <w:rPr>
                <w:rFonts w:hint="default" w:ascii="方正仿宋_GBK" w:hAnsi="方正仿宋_GBK" w:eastAsia="方正仿宋_GBK" w:cs="方正仿宋_GBK"/>
                <w:sz w:val="21"/>
                <w:szCs w:val="21"/>
                <w:vertAlign w:val="baseline"/>
                <w:lang w:val="en-US" w:eastAsia="zh-CN"/>
              </w:rPr>
            </w:pPr>
          </w:p>
        </w:tc>
        <w:tc>
          <w:tcPr>
            <w:tcW w:w="800" w:type="dxa"/>
            <w:vAlign w:val="center"/>
          </w:tcPr>
          <w:p w14:paraId="6E0967D4">
            <w:pPr>
              <w:numPr>
                <w:ilvl w:val="0"/>
                <w:numId w:val="0"/>
              </w:numPr>
              <w:ind w:left="0" w:leftChars="0" w:firstLine="0" w:firstLineChars="0"/>
              <w:jc w:val="center"/>
              <w:rPr>
                <w:rFonts w:hint="default" w:ascii="方正仿宋_GBK" w:hAnsi="方正仿宋_GBK" w:eastAsia="方正仿宋_GBK" w:cs="方正仿宋_GBK"/>
                <w:b/>
                <w:bCs/>
                <w:color w:val="000000"/>
                <w:spacing w:val="0"/>
                <w:w w:val="100"/>
                <w:position w:val="0"/>
                <w:sz w:val="21"/>
                <w:szCs w:val="21"/>
                <w:lang w:val="en-US" w:eastAsia="zh-CN"/>
              </w:rPr>
            </w:pPr>
            <w:r>
              <w:rPr>
                <w:rFonts w:hint="eastAsia" w:ascii="方正仿宋_GBK" w:hAnsi="方正仿宋_GBK" w:eastAsia="方正仿宋_GBK" w:cs="方正仿宋_GBK"/>
                <w:b/>
                <w:bCs/>
                <w:color w:val="000000"/>
                <w:spacing w:val="0"/>
                <w:w w:val="100"/>
                <w:position w:val="0"/>
                <w:sz w:val="21"/>
                <w:szCs w:val="21"/>
                <w:lang w:val="en-US" w:eastAsia="zh-CN"/>
              </w:rPr>
              <w:t>教学观摩</w:t>
            </w:r>
          </w:p>
        </w:tc>
        <w:tc>
          <w:tcPr>
            <w:tcW w:w="2890" w:type="dxa"/>
            <w:vAlign w:val="center"/>
          </w:tcPr>
          <w:p w14:paraId="24167F6A">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31.每年开展说课、公开课、示范课等教研活动不少于4次。</w:t>
            </w:r>
          </w:p>
        </w:tc>
        <w:tc>
          <w:tcPr>
            <w:tcW w:w="2780" w:type="dxa"/>
            <w:vAlign w:val="center"/>
          </w:tcPr>
          <w:p w14:paraId="287FA55A">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每年开展说课、公开课、示范课等教研活动不少于3次。</w:t>
            </w:r>
          </w:p>
        </w:tc>
        <w:tc>
          <w:tcPr>
            <w:tcW w:w="2890" w:type="dxa"/>
            <w:vAlign w:val="center"/>
          </w:tcPr>
          <w:p w14:paraId="7E287BA8">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每年开展说课、公开课、示范课等教研活动不少于2次。</w:t>
            </w:r>
          </w:p>
        </w:tc>
        <w:tc>
          <w:tcPr>
            <w:tcW w:w="2700" w:type="dxa"/>
            <w:vAlign w:val="center"/>
          </w:tcPr>
          <w:p w14:paraId="5611B9C4">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每学年开展公开课教学活动不少于1次。</w:t>
            </w:r>
          </w:p>
        </w:tc>
      </w:tr>
      <w:tr w14:paraId="5B41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840" w:type="dxa"/>
            <w:vMerge w:val="continue"/>
            <w:vAlign w:val="top"/>
          </w:tcPr>
          <w:p w14:paraId="46F5E3B7">
            <w:pPr>
              <w:numPr>
                <w:ilvl w:val="0"/>
                <w:numId w:val="0"/>
              </w:numPr>
              <w:jc w:val="center"/>
              <w:rPr>
                <w:rFonts w:hint="default" w:ascii="方正仿宋_GBK" w:hAnsi="方正仿宋_GBK" w:eastAsia="方正仿宋_GBK" w:cs="方正仿宋_GBK"/>
                <w:b/>
                <w:bCs/>
                <w:sz w:val="30"/>
                <w:szCs w:val="30"/>
                <w:vertAlign w:val="baseline"/>
                <w:lang w:val="en-US" w:eastAsia="zh-CN"/>
              </w:rPr>
            </w:pPr>
          </w:p>
        </w:tc>
        <w:tc>
          <w:tcPr>
            <w:tcW w:w="950" w:type="dxa"/>
            <w:vMerge w:val="continue"/>
            <w:vAlign w:val="top"/>
          </w:tcPr>
          <w:p w14:paraId="3930E9DE">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2130" w:type="dxa"/>
            <w:vMerge w:val="continue"/>
          </w:tcPr>
          <w:p w14:paraId="5948E2E4">
            <w:pPr>
              <w:numPr>
                <w:ilvl w:val="0"/>
                <w:numId w:val="0"/>
              </w:numPr>
              <w:rPr>
                <w:rFonts w:hint="default" w:ascii="方正仿宋_GBK" w:hAnsi="方正仿宋_GBK" w:eastAsia="方正仿宋_GBK" w:cs="方正仿宋_GBK"/>
                <w:sz w:val="21"/>
                <w:szCs w:val="21"/>
                <w:vertAlign w:val="baseline"/>
                <w:lang w:val="en-US" w:eastAsia="zh-CN"/>
              </w:rPr>
            </w:pPr>
          </w:p>
        </w:tc>
        <w:tc>
          <w:tcPr>
            <w:tcW w:w="800" w:type="dxa"/>
            <w:vAlign w:val="center"/>
          </w:tcPr>
          <w:p w14:paraId="486C1918">
            <w:pPr>
              <w:numPr>
                <w:ilvl w:val="0"/>
                <w:numId w:val="0"/>
              </w:numPr>
              <w:ind w:left="0" w:leftChars="0" w:firstLine="0" w:firstLineChars="0"/>
              <w:jc w:val="center"/>
              <w:rPr>
                <w:rFonts w:hint="default" w:ascii="方正仿宋_GBK" w:hAnsi="方正仿宋_GBK" w:eastAsia="方正仿宋_GBK" w:cs="方正仿宋_GBK"/>
                <w:b/>
                <w:bCs/>
                <w:color w:val="000000"/>
                <w:spacing w:val="0"/>
                <w:w w:val="100"/>
                <w:position w:val="0"/>
                <w:sz w:val="21"/>
                <w:szCs w:val="21"/>
                <w:lang w:val="en-US" w:eastAsia="zh-CN"/>
              </w:rPr>
            </w:pPr>
            <w:r>
              <w:rPr>
                <w:rFonts w:hint="eastAsia" w:ascii="方正仿宋_GBK" w:hAnsi="方正仿宋_GBK" w:eastAsia="方正仿宋_GBK" w:cs="方正仿宋_GBK"/>
                <w:b/>
                <w:bCs/>
                <w:color w:val="000000"/>
                <w:spacing w:val="0"/>
                <w:w w:val="100"/>
                <w:position w:val="0"/>
                <w:sz w:val="21"/>
                <w:szCs w:val="21"/>
                <w:lang w:val="en-US" w:eastAsia="zh-CN"/>
              </w:rPr>
              <w:t>教学评估</w:t>
            </w:r>
          </w:p>
        </w:tc>
        <w:tc>
          <w:tcPr>
            <w:tcW w:w="2890" w:type="dxa"/>
            <w:vAlign w:val="center"/>
          </w:tcPr>
          <w:p w14:paraId="7260C851">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32.制定教学质量评估标准，每年开展评估不少于2次；50%的课程开展学员评教。</w:t>
            </w:r>
          </w:p>
        </w:tc>
        <w:tc>
          <w:tcPr>
            <w:tcW w:w="2780" w:type="dxa"/>
            <w:vAlign w:val="center"/>
          </w:tcPr>
          <w:p w14:paraId="40795715">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制定教学质量评估标准，每年开展评估不少于1次；30%的课程开展学员评教。</w:t>
            </w:r>
          </w:p>
        </w:tc>
        <w:tc>
          <w:tcPr>
            <w:tcW w:w="2890" w:type="dxa"/>
            <w:vAlign w:val="center"/>
          </w:tcPr>
          <w:p w14:paraId="683B87D2">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制定教学质量评估标准，每年开展评估不少于1次；20%的课程开展学员评教。</w:t>
            </w:r>
          </w:p>
        </w:tc>
        <w:tc>
          <w:tcPr>
            <w:tcW w:w="2700" w:type="dxa"/>
            <w:vAlign w:val="center"/>
          </w:tcPr>
          <w:p w14:paraId="1C60449F">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对部分课程适时开展教学评估，开展学员评教。</w:t>
            </w:r>
          </w:p>
          <w:p w14:paraId="176F986D">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p>
        </w:tc>
      </w:tr>
      <w:tr w14:paraId="0633F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restart"/>
            <w:vAlign w:val="center"/>
          </w:tcPr>
          <w:p w14:paraId="0FA400EF">
            <w:pPr>
              <w:numPr>
                <w:ilvl w:val="0"/>
                <w:numId w:val="0"/>
              </w:numPr>
              <w:jc w:val="center"/>
              <w:rPr>
                <w:rFonts w:hint="eastAsia" w:ascii="方正仿宋_GBK" w:hAnsi="方正仿宋_GBK" w:eastAsia="方正仿宋_GBK" w:cs="方正仿宋_GBK"/>
                <w:b/>
                <w:bCs/>
                <w:sz w:val="30"/>
                <w:szCs w:val="30"/>
                <w:vertAlign w:val="baseline"/>
                <w:lang w:eastAsia="zh-CN"/>
              </w:rPr>
            </w:pPr>
            <w:r>
              <w:rPr>
                <w:rFonts w:hint="eastAsia" w:ascii="方正仿宋_GBK" w:hAnsi="方正仿宋_GBK" w:eastAsia="方正仿宋_GBK" w:cs="方正仿宋_GBK"/>
                <w:b/>
                <w:bCs/>
                <w:sz w:val="30"/>
                <w:szCs w:val="30"/>
                <w:vertAlign w:val="baseline"/>
                <w:lang w:val="en-US" w:eastAsia="zh-CN"/>
              </w:rPr>
              <w:t>四、</w:t>
            </w:r>
            <w:r>
              <w:rPr>
                <w:rFonts w:hint="eastAsia" w:ascii="方正仿宋_GBK" w:hAnsi="方正仿宋_GBK" w:eastAsia="方正仿宋_GBK" w:cs="方正仿宋_GBK"/>
                <w:b/>
                <w:bCs/>
                <w:sz w:val="30"/>
                <w:szCs w:val="30"/>
                <w:vertAlign w:val="baseline"/>
                <w:lang w:eastAsia="zh-CN"/>
              </w:rPr>
              <w:t>师</w:t>
            </w:r>
          </w:p>
          <w:p w14:paraId="356C8460">
            <w:pPr>
              <w:numPr>
                <w:ilvl w:val="0"/>
                <w:numId w:val="0"/>
              </w:numPr>
              <w:jc w:val="center"/>
              <w:rPr>
                <w:rFonts w:hint="eastAsia" w:ascii="方正仿宋_GBK" w:hAnsi="方正仿宋_GBK" w:eastAsia="方正仿宋_GBK" w:cs="方正仿宋_GBK"/>
                <w:b/>
                <w:bCs/>
                <w:sz w:val="30"/>
                <w:szCs w:val="30"/>
                <w:vertAlign w:val="baseline"/>
                <w:lang w:eastAsia="zh-CN"/>
              </w:rPr>
            </w:pPr>
            <w:r>
              <w:rPr>
                <w:rFonts w:hint="eastAsia" w:ascii="方正仿宋_GBK" w:hAnsi="方正仿宋_GBK" w:eastAsia="方正仿宋_GBK" w:cs="方正仿宋_GBK"/>
                <w:b/>
                <w:bCs/>
                <w:sz w:val="30"/>
                <w:szCs w:val="30"/>
                <w:vertAlign w:val="baseline"/>
                <w:lang w:eastAsia="zh-CN"/>
              </w:rPr>
              <w:t>资</w:t>
            </w:r>
          </w:p>
          <w:p w14:paraId="6132177E">
            <w:pPr>
              <w:numPr>
                <w:ilvl w:val="0"/>
                <w:numId w:val="0"/>
              </w:numPr>
              <w:jc w:val="center"/>
              <w:rPr>
                <w:rFonts w:hint="eastAsia" w:ascii="方正仿宋_GBK" w:hAnsi="方正仿宋_GBK" w:eastAsia="方正仿宋_GBK" w:cs="方正仿宋_GBK"/>
                <w:b/>
                <w:bCs/>
                <w:sz w:val="30"/>
                <w:szCs w:val="30"/>
                <w:vertAlign w:val="baseline"/>
                <w:lang w:eastAsia="zh-CN"/>
              </w:rPr>
            </w:pPr>
            <w:r>
              <w:rPr>
                <w:rFonts w:hint="eastAsia" w:ascii="方正仿宋_GBK" w:hAnsi="方正仿宋_GBK" w:eastAsia="方正仿宋_GBK" w:cs="方正仿宋_GBK"/>
                <w:b/>
                <w:bCs/>
                <w:sz w:val="30"/>
                <w:szCs w:val="30"/>
                <w:vertAlign w:val="baseline"/>
                <w:lang w:eastAsia="zh-CN"/>
              </w:rPr>
              <w:t>管</w:t>
            </w:r>
          </w:p>
          <w:p w14:paraId="78AE6C07">
            <w:pPr>
              <w:numPr>
                <w:ilvl w:val="0"/>
                <w:numId w:val="0"/>
              </w:numPr>
              <w:jc w:val="center"/>
              <w:rPr>
                <w:rFonts w:hint="default" w:ascii="方正仿宋_GBK" w:hAnsi="方正仿宋_GBK" w:eastAsia="方正仿宋_GBK" w:cs="方正仿宋_GBK"/>
                <w:b/>
                <w:bCs/>
                <w:sz w:val="30"/>
                <w:szCs w:val="30"/>
                <w:vertAlign w:val="baseline"/>
                <w:lang w:val="en-US" w:eastAsia="zh-CN"/>
              </w:rPr>
            </w:pPr>
            <w:r>
              <w:rPr>
                <w:rFonts w:hint="eastAsia" w:ascii="方正仿宋_GBK" w:hAnsi="方正仿宋_GBK" w:eastAsia="方正仿宋_GBK" w:cs="方正仿宋_GBK"/>
                <w:b/>
                <w:bCs/>
                <w:sz w:val="30"/>
                <w:szCs w:val="30"/>
                <w:vertAlign w:val="baseline"/>
                <w:lang w:eastAsia="zh-CN"/>
              </w:rPr>
              <w:t>理</w:t>
            </w:r>
          </w:p>
        </w:tc>
        <w:tc>
          <w:tcPr>
            <w:tcW w:w="950" w:type="dxa"/>
            <w:vMerge w:val="restart"/>
            <w:vAlign w:val="center"/>
          </w:tcPr>
          <w:p w14:paraId="5C0F1BB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color w:val="000000"/>
                <w:spacing w:val="0"/>
                <w:w w:val="100"/>
                <w:position w:val="0"/>
                <w:sz w:val="24"/>
                <w:szCs w:val="24"/>
                <w:lang w:eastAsia="zh-CN"/>
              </w:rPr>
            </w:pPr>
            <w:r>
              <w:rPr>
                <w:rFonts w:hint="eastAsia" w:ascii="方正仿宋_GBK" w:hAnsi="方正仿宋_GBK" w:eastAsia="方正仿宋_GBK" w:cs="方正仿宋_GBK"/>
                <w:b/>
                <w:bCs/>
                <w:color w:val="000000"/>
                <w:spacing w:val="0"/>
                <w:w w:val="100"/>
                <w:position w:val="0"/>
                <w:sz w:val="24"/>
                <w:szCs w:val="24"/>
                <w:lang w:eastAsia="zh-CN"/>
              </w:rPr>
              <w:t>师资</w:t>
            </w:r>
          </w:p>
          <w:p w14:paraId="239B025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000000"/>
                <w:spacing w:val="0"/>
                <w:w w:val="100"/>
                <w:position w:val="0"/>
                <w:sz w:val="24"/>
                <w:szCs w:val="24"/>
                <w:lang w:eastAsia="zh-CN"/>
              </w:rPr>
              <w:t>配置</w:t>
            </w:r>
          </w:p>
        </w:tc>
        <w:tc>
          <w:tcPr>
            <w:tcW w:w="2130" w:type="dxa"/>
            <w:vMerge w:val="restart"/>
            <w:vAlign w:val="center"/>
          </w:tcPr>
          <w:p w14:paraId="170CB6FD">
            <w:pPr>
              <w:numPr>
                <w:ilvl w:val="0"/>
                <w:numId w:val="0"/>
              </w:numPr>
              <w:jc w:val="center"/>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专兼职教师数量充足，学历、职称、年龄结构等较为合理。</w:t>
            </w:r>
          </w:p>
        </w:tc>
        <w:tc>
          <w:tcPr>
            <w:tcW w:w="800" w:type="dxa"/>
            <w:vAlign w:val="center"/>
          </w:tcPr>
          <w:p w14:paraId="20F44E99">
            <w:pPr>
              <w:numPr>
                <w:ilvl w:val="0"/>
                <w:numId w:val="0"/>
              </w:numPr>
              <w:ind w:left="0" w:leftChars="0" w:firstLine="0" w:firstLineChars="0"/>
              <w:jc w:val="center"/>
              <w:rPr>
                <w:rFonts w:hint="default" w:ascii="方正仿宋_GBK" w:hAnsi="方正仿宋_GBK" w:eastAsia="方正仿宋_GBK" w:cs="方正仿宋_GBK"/>
                <w:b/>
                <w:bCs/>
                <w:color w:val="000000"/>
                <w:spacing w:val="0"/>
                <w:w w:val="100"/>
                <w:position w:val="0"/>
                <w:sz w:val="21"/>
                <w:szCs w:val="21"/>
                <w:lang w:val="en-US" w:eastAsia="zh-CN"/>
              </w:rPr>
            </w:pPr>
            <w:r>
              <w:rPr>
                <w:rFonts w:hint="eastAsia" w:ascii="方正仿宋_GBK" w:hAnsi="方正仿宋_GBK" w:eastAsia="方正仿宋_GBK" w:cs="方正仿宋_GBK"/>
                <w:b/>
                <w:bCs/>
                <w:color w:val="000000"/>
                <w:spacing w:val="0"/>
                <w:w w:val="100"/>
                <w:position w:val="0"/>
                <w:sz w:val="21"/>
                <w:szCs w:val="21"/>
                <w:lang w:val="en-US" w:eastAsia="zh-CN"/>
              </w:rPr>
              <w:t>师资数量</w:t>
            </w:r>
          </w:p>
        </w:tc>
        <w:tc>
          <w:tcPr>
            <w:tcW w:w="2890" w:type="dxa"/>
            <w:vAlign w:val="center"/>
          </w:tcPr>
          <w:p w14:paraId="46CDAAE2">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33.师生比1:30—1:80。任教5年以上的教师占比50%以上。</w:t>
            </w:r>
          </w:p>
        </w:tc>
        <w:tc>
          <w:tcPr>
            <w:tcW w:w="2780" w:type="dxa"/>
            <w:vAlign w:val="center"/>
          </w:tcPr>
          <w:p w14:paraId="001643AD">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师生比1:30--1:130。任教5年以上的教师占比40%以上。</w:t>
            </w:r>
          </w:p>
        </w:tc>
        <w:tc>
          <w:tcPr>
            <w:tcW w:w="2890" w:type="dxa"/>
            <w:vAlign w:val="center"/>
          </w:tcPr>
          <w:p w14:paraId="48308FCF">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师生比1:30--1:60。任教5年以上教师占比30%以上。</w:t>
            </w:r>
          </w:p>
        </w:tc>
        <w:tc>
          <w:tcPr>
            <w:tcW w:w="2700" w:type="dxa"/>
            <w:vAlign w:val="center"/>
          </w:tcPr>
          <w:p w14:paraId="5DD53845">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具有相对稳定的教师团队。</w:t>
            </w:r>
          </w:p>
        </w:tc>
      </w:tr>
      <w:tr w14:paraId="2DCE8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vAlign w:val="top"/>
          </w:tcPr>
          <w:p w14:paraId="35A4FC71">
            <w:pPr>
              <w:numPr>
                <w:ilvl w:val="0"/>
                <w:numId w:val="0"/>
              </w:numPr>
              <w:jc w:val="center"/>
              <w:rPr>
                <w:rFonts w:hint="default" w:ascii="方正仿宋_GBK" w:hAnsi="方正仿宋_GBK" w:eastAsia="方正仿宋_GBK" w:cs="方正仿宋_GBK"/>
                <w:b/>
                <w:bCs/>
                <w:sz w:val="30"/>
                <w:szCs w:val="30"/>
                <w:vertAlign w:val="baseline"/>
                <w:lang w:val="en-US" w:eastAsia="zh-CN"/>
              </w:rPr>
            </w:pPr>
          </w:p>
        </w:tc>
        <w:tc>
          <w:tcPr>
            <w:tcW w:w="950" w:type="dxa"/>
            <w:vMerge w:val="continue"/>
            <w:vAlign w:val="top"/>
          </w:tcPr>
          <w:p w14:paraId="60C08B43">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2130" w:type="dxa"/>
            <w:vMerge w:val="continue"/>
          </w:tcPr>
          <w:p w14:paraId="111C037E">
            <w:pPr>
              <w:numPr>
                <w:ilvl w:val="0"/>
                <w:numId w:val="0"/>
              </w:numPr>
              <w:rPr>
                <w:rFonts w:hint="default" w:ascii="方正仿宋_GBK" w:hAnsi="方正仿宋_GBK" w:eastAsia="方正仿宋_GBK" w:cs="方正仿宋_GBK"/>
                <w:sz w:val="21"/>
                <w:szCs w:val="21"/>
                <w:vertAlign w:val="baseline"/>
                <w:lang w:val="en-US" w:eastAsia="zh-CN"/>
              </w:rPr>
            </w:pPr>
          </w:p>
        </w:tc>
        <w:tc>
          <w:tcPr>
            <w:tcW w:w="800" w:type="dxa"/>
            <w:vAlign w:val="center"/>
          </w:tcPr>
          <w:p w14:paraId="795F81B5">
            <w:pPr>
              <w:numPr>
                <w:ilvl w:val="0"/>
                <w:numId w:val="0"/>
              </w:numPr>
              <w:ind w:left="0" w:leftChars="0" w:firstLine="0" w:firstLineChars="0"/>
              <w:jc w:val="center"/>
              <w:rPr>
                <w:rFonts w:hint="default" w:ascii="方正仿宋_GBK" w:hAnsi="方正仿宋_GBK" w:eastAsia="方正仿宋_GBK" w:cs="方正仿宋_GBK"/>
                <w:b/>
                <w:bCs/>
                <w:color w:val="000000"/>
                <w:spacing w:val="0"/>
                <w:w w:val="100"/>
                <w:position w:val="0"/>
                <w:sz w:val="21"/>
                <w:szCs w:val="21"/>
                <w:lang w:val="en-US" w:eastAsia="zh-CN"/>
              </w:rPr>
            </w:pPr>
            <w:r>
              <w:rPr>
                <w:rFonts w:hint="eastAsia" w:ascii="方正仿宋_GBK" w:hAnsi="方正仿宋_GBK" w:eastAsia="方正仿宋_GBK" w:cs="方正仿宋_GBK"/>
                <w:b/>
                <w:bCs/>
                <w:color w:val="000000"/>
                <w:spacing w:val="0"/>
                <w:w w:val="100"/>
                <w:position w:val="0"/>
                <w:sz w:val="21"/>
                <w:szCs w:val="21"/>
                <w:lang w:val="en-US" w:eastAsia="zh-CN"/>
              </w:rPr>
              <w:t>师资结构</w:t>
            </w:r>
          </w:p>
        </w:tc>
        <w:tc>
          <w:tcPr>
            <w:tcW w:w="2890" w:type="dxa"/>
            <w:vAlign w:val="center"/>
          </w:tcPr>
          <w:p w14:paraId="39D60026">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34.大专以上文化程度、具有中级职称或相关部门认定的专业资质占教师数80%以上。</w:t>
            </w:r>
          </w:p>
        </w:tc>
        <w:tc>
          <w:tcPr>
            <w:tcW w:w="2780" w:type="dxa"/>
            <w:vAlign w:val="center"/>
          </w:tcPr>
          <w:p w14:paraId="70C825B0">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大专以上文化程度、具有中级职称或相关部门认定的专业资质占教师数80%以上。</w:t>
            </w:r>
          </w:p>
        </w:tc>
        <w:tc>
          <w:tcPr>
            <w:tcW w:w="2890" w:type="dxa"/>
            <w:vAlign w:val="center"/>
          </w:tcPr>
          <w:p w14:paraId="32D581F4">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大专以上文化程度占教师数80%以上、具有中级职称或相关部门认定的专业资质占教师数60%以上。</w:t>
            </w:r>
          </w:p>
        </w:tc>
        <w:tc>
          <w:tcPr>
            <w:tcW w:w="2700" w:type="dxa"/>
            <w:vAlign w:val="center"/>
          </w:tcPr>
          <w:p w14:paraId="3AD8DA72">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大专以上文化程度占教师数70%以上或具有相关部门认定的专业资质占教师数50%以上。</w:t>
            </w:r>
          </w:p>
        </w:tc>
      </w:tr>
      <w:tr w14:paraId="010B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840" w:type="dxa"/>
            <w:vMerge w:val="continue"/>
            <w:vAlign w:val="top"/>
          </w:tcPr>
          <w:p w14:paraId="27A36883">
            <w:pPr>
              <w:numPr>
                <w:ilvl w:val="0"/>
                <w:numId w:val="0"/>
              </w:numPr>
              <w:jc w:val="center"/>
              <w:rPr>
                <w:rFonts w:hint="default" w:ascii="方正仿宋_GBK" w:hAnsi="方正仿宋_GBK" w:eastAsia="方正仿宋_GBK" w:cs="方正仿宋_GBK"/>
                <w:b/>
                <w:bCs/>
                <w:sz w:val="30"/>
                <w:szCs w:val="30"/>
                <w:vertAlign w:val="baseline"/>
                <w:lang w:val="en-US" w:eastAsia="zh-CN"/>
              </w:rPr>
            </w:pPr>
          </w:p>
        </w:tc>
        <w:tc>
          <w:tcPr>
            <w:tcW w:w="950" w:type="dxa"/>
            <w:vMerge w:val="restart"/>
            <w:vAlign w:val="center"/>
          </w:tcPr>
          <w:p w14:paraId="46C3658C">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color w:val="000000"/>
                <w:spacing w:val="0"/>
                <w:w w:val="100"/>
                <w:position w:val="0"/>
                <w:sz w:val="24"/>
                <w:szCs w:val="24"/>
                <w:lang w:val="en-US" w:eastAsia="zh-CN"/>
              </w:rPr>
            </w:pPr>
            <w:r>
              <w:rPr>
                <w:rFonts w:hint="eastAsia" w:ascii="方正仿宋_GBK" w:hAnsi="方正仿宋_GBK" w:eastAsia="方正仿宋_GBK" w:cs="方正仿宋_GBK"/>
                <w:b/>
                <w:bCs/>
                <w:color w:val="000000"/>
                <w:spacing w:val="0"/>
                <w:w w:val="100"/>
                <w:position w:val="0"/>
                <w:sz w:val="24"/>
                <w:szCs w:val="24"/>
                <w:lang w:val="en-US" w:eastAsia="zh-CN"/>
              </w:rPr>
              <w:t>师资</w:t>
            </w:r>
          </w:p>
          <w:p w14:paraId="23CAEAF3">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建设</w:t>
            </w:r>
          </w:p>
        </w:tc>
        <w:tc>
          <w:tcPr>
            <w:tcW w:w="2130" w:type="dxa"/>
            <w:vMerge w:val="restart"/>
            <w:vAlign w:val="center"/>
          </w:tcPr>
          <w:p w14:paraId="6D9FBB0D">
            <w:pPr>
              <w:numPr>
                <w:ilvl w:val="0"/>
                <w:numId w:val="0"/>
              </w:numPr>
              <w:jc w:val="both"/>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从选聘、考核、师德培训等方面提高师资质量，实行违反师德“一票否决”制。</w:t>
            </w:r>
          </w:p>
        </w:tc>
        <w:tc>
          <w:tcPr>
            <w:tcW w:w="800" w:type="dxa"/>
            <w:vAlign w:val="center"/>
          </w:tcPr>
          <w:p w14:paraId="043FB813">
            <w:pPr>
              <w:numPr>
                <w:ilvl w:val="0"/>
                <w:numId w:val="0"/>
              </w:numPr>
              <w:ind w:left="0" w:leftChars="0" w:firstLine="0" w:firstLineChars="0"/>
              <w:jc w:val="center"/>
              <w:rPr>
                <w:rFonts w:hint="eastAsia" w:ascii="方正仿宋_GBK" w:hAnsi="方正仿宋_GBK" w:eastAsia="方正仿宋_GBK" w:cs="方正仿宋_GBK"/>
                <w:b/>
                <w:bCs/>
                <w:color w:val="000000"/>
                <w:spacing w:val="0"/>
                <w:w w:val="100"/>
                <w:position w:val="0"/>
                <w:sz w:val="21"/>
                <w:szCs w:val="21"/>
                <w:lang w:val="en-US" w:eastAsia="zh-CN"/>
              </w:rPr>
            </w:pPr>
            <w:r>
              <w:rPr>
                <w:rFonts w:hint="eastAsia" w:ascii="方正仿宋_GBK" w:hAnsi="方正仿宋_GBK" w:eastAsia="方正仿宋_GBK" w:cs="方正仿宋_GBK"/>
                <w:b/>
                <w:bCs/>
                <w:color w:val="000000"/>
                <w:spacing w:val="0"/>
                <w:w w:val="100"/>
                <w:position w:val="0"/>
                <w:sz w:val="21"/>
                <w:szCs w:val="21"/>
                <w:lang w:val="en-US" w:eastAsia="zh-CN"/>
              </w:rPr>
              <w:t>选聘与</w:t>
            </w:r>
          </w:p>
          <w:p w14:paraId="19E7AE34">
            <w:pPr>
              <w:numPr>
                <w:ilvl w:val="0"/>
                <w:numId w:val="0"/>
              </w:numPr>
              <w:ind w:left="0" w:leftChars="0" w:firstLine="0" w:firstLineChars="0"/>
              <w:jc w:val="center"/>
              <w:rPr>
                <w:rFonts w:hint="default" w:ascii="方正仿宋_GBK" w:hAnsi="方正仿宋_GBK" w:eastAsia="方正仿宋_GBK" w:cs="方正仿宋_GBK"/>
                <w:b/>
                <w:bCs/>
                <w:color w:val="000000"/>
                <w:spacing w:val="0"/>
                <w:w w:val="100"/>
                <w:position w:val="0"/>
                <w:sz w:val="21"/>
                <w:szCs w:val="21"/>
                <w:lang w:val="en-US" w:eastAsia="zh-CN"/>
              </w:rPr>
            </w:pPr>
            <w:r>
              <w:rPr>
                <w:rFonts w:hint="eastAsia" w:ascii="方正仿宋_GBK" w:hAnsi="方正仿宋_GBK" w:eastAsia="方正仿宋_GBK" w:cs="方正仿宋_GBK"/>
                <w:b/>
                <w:bCs/>
                <w:color w:val="000000"/>
                <w:spacing w:val="0"/>
                <w:w w:val="100"/>
                <w:position w:val="0"/>
                <w:sz w:val="21"/>
                <w:szCs w:val="21"/>
                <w:lang w:val="en-US" w:eastAsia="zh-CN"/>
              </w:rPr>
              <w:t>考核</w:t>
            </w:r>
          </w:p>
        </w:tc>
        <w:tc>
          <w:tcPr>
            <w:tcW w:w="2890" w:type="dxa"/>
            <w:vAlign w:val="center"/>
          </w:tcPr>
          <w:p w14:paraId="2434D93E">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35.完善教师选聘、师德建设、专业水平、教学能力、教研成果、学员认可度等评定制度。每年评选省级优秀教师4名。</w:t>
            </w:r>
          </w:p>
        </w:tc>
        <w:tc>
          <w:tcPr>
            <w:tcW w:w="2780" w:type="dxa"/>
            <w:vAlign w:val="center"/>
          </w:tcPr>
          <w:p w14:paraId="5489A43F">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完善教师选聘、师德建设、专业水平、教学能力、教研成果、学员认可度等评定制度。每年评选省级优秀教师2名。</w:t>
            </w:r>
          </w:p>
        </w:tc>
        <w:tc>
          <w:tcPr>
            <w:tcW w:w="2890" w:type="dxa"/>
            <w:vAlign w:val="center"/>
          </w:tcPr>
          <w:p w14:paraId="360C79B0">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完善教师选聘、师德建设、专业水平、教学能力、教研成果、学员认可度等评定制度。每年评选省级优秀教师1名。</w:t>
            </w:r>
          </w:p>
        </w:tc>
        <w:tc>
          <w:tcPr>
            <w:tcW w:w="2700" w:type="dxa"/>
            <w:vAlign w:val="center"/>
          </w:tcPr>
          <w:p w14:paraId="27EB40C7">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建立健全教师聘任、考核等制度。</w:t>
            </w:r>
          </w:p>
        </w:tc>
      </w:tr>
      <w:tr w14:paraId="5EE3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vAlign w:val="top"/>
          </w:tcPr>
          <w:p w14:paraId="367001E8">
            <w:pPr>
              <w:numPr>
                <w:ilvl w:val="0"/>
                <w:numId w:val="0"/>
              </w:numPr>
              <w:jc w:val="center"/>
              <w:rPr>
                <w:rFonts w:hint="default" w:ascii="方正仿宋_GBK" w:hAnsi="方正仿宋_GBK" w:eastAsia="方正仿宋_GBK" w:cs="方正仿宋_GBK"/>
                <w:b/>
                <w:bCs/>
                <w:sz w:val="30"/>
                <w:szCs w:val="30"/>
                <w:vertAlign w:val="baseline"/>
                <w:lang w:val="en-US" w:eastAsia="zh-CN"/>
              </w:rPr>
            </w:pPr>
          </w:p>
        </w:tc>
        <w:tc>
          <w:tcPr>
            <w:tcW w:w="950" w:type="dxa"/>
            <w:vMerge w:val="continue"/>
            <w:vAlign w:val="top"/>
          </w:tcPr>
          <w:p w14:paraId="5C23EE3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2130" w:type="dxa"/>
            <w:vMerge w:val="continue"/>
          </w:tcPr>
          <w:p w14:paraId="5CE7B9F7">
            <w:pPr>
              <w:numPr>
                <w:ilvl w:val="0"/>
                <w:numId w:val="0"/>
              </w:numPr>
              <w:rPr>
                <w:rFonts w:hint="default" w:ascii="方正仿宋_GBK" w:hAnsi="方正仿宋_GBK" w:eastAsia="方正仿宋_GBK" w:cs="方正仿宋_GBK"/>
                <w:sz w:val="21"/>
                <w:szCs w:val="21"/>
                <w:vertAlign w:val="baseline"/>
                <w:lang w:val="en-US" w:eastAsia="zh-CN"/>
              </w:rPr>
            </w:pPr>
          </w:p>
        </w:tc>
        <w:tc>
          <w:tcPr>
            <w:tcW w:w="800" w:type="dxa"/>
            <w:vAlign w:val="center"/>
          </w:tcPr>
          <w:p w14:paraId="54BDDF8D">
            <w:pPr>
              <w:numPr>
                <w:ilvl w:val="0"/>
                <w:numId w:val="0"/>
              </w:numPr>
              <w:jc w:val="center"/>
              <w:rPr>
                <w:rFonts w:hint="default" w:ascii="方正仿宋_GBK" w:hAnsi="方正仿宋_GBK" w:eastAsia="方正仿宋_GBK" w:cs="方正仿宋_GBK"/>
                <w:b/>
                <w:bCs/>
                <w:sz w:val="21"/>
                <w:szCs w:val="21"/>
                <w:vertAlign w:val="baseline"/>
                <w:lang w:val="en-US" w:eastAsia="zh-CN"/>
              </w:rPr>
            </w:pPr>
            <w:r>
              <w:rPr>
                <w:rFonts w:hint="eastAsia" w:ascii="方正仿宋_GBK" w:hAnsi="方正仿宋_GBK" w:eastAsia="方正仿宋_GBK" w:cs="方正仿宋_GBK"/>
                <w:b/>
                <w:bCs/>
                <w:color w:val="000000"/>
                <w:spacing w:val="0"/>
                <w:w w:val="100"/>
                <w:position w:val="0"/>
                <w:sz w:val="21"/>
                <w:szCs w:val="21"/>
                <w:lang w:eastAsia="zh-CN"/>
              </w:rPr>
              <w:t>师德评价</w:t>
            </w:r>
          </w:p>
        </w:tc>
        <w:tc>
          <w:tcPr>
            <w:tcW w:w="2890" w:type="dxa"/>
            <w:vAlign w:val="center"/>
          </w:tcPr>
          <w:p w14:paraId="49B66918">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36.建立师德评价标准，</w:t>
            </w:r>
            <w:r>
              <w:rPr>
                <w:rFonts w:hint="eastAsia" w:ascii="方正仿宋_GBK" w:hAnsi="方正仿宋_GBK" w:eastAsia="方正仿宋_GBK" w:cs="方正仿宋_GBK"/>
                <w:sz w:val="21"/>
                <w:szCs w:val="21"/>
                <w:vertAlign w:val="baseline"/>
                <w:lang w:val="en-US" w:eastAsia="zh-CN"/>
              </w:rPr>
              <w:t>违反师德实行“一票否决”制。</w:t>
            </w:r>
          </w:p>
        </w:tc>
        <w:tc>
          <w:tcPr>
            <w:tcW w:w="2780" w:type="dxa"/>
            <w:vAlign w:val="center"/>
          </w:tcPr>
          <w:p w14:paraId="2C0C4CDD">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建立师德评价标准，</w:t>
            </w:r>
            <w:r>
              <w:rPr>
                <w:rFonts w:hint="eastAsia" w:ascii="方正仿宋_GBK" w:hAnsi="方正仿宋_GBK" w:eastAsia="方正仿宋_GBK" w:cs="方正仿宋_GBK"/>
                <w:sz w:val="21"/>
                <w:szCs w:val="21"/>
                <w:vertAlign w:val="baseline"/>
                <w:lang w:val="en-US" w:eastAsia="zh-CN"/>
              </w:rPr>
              <w:t>违反师德实行“一票否决”制。</w:t>
            </w:r>
          </w:p>
        </w:tc>
        <w:tc>
          <w:tcPr>
            <w:tcW w:w="2890" w:type="dxa"/>
            <w:vAlign w:val="center"/>
          </w:tcPr>
          <w:p w14:paraId="1582F65B">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建立师德评价标准，</w:t>
            </w:r>
            <w:r>
              <w:rPr>
                <w:rFonts w:hint="eastAsia" w:ascii="方正仿宋_GBK" w:hAnsi="方正仿宋_GBK" w:eastAsia="方正仿宋_GBK" w:cs="方正仿宋_GBK"/>
                <w:sz w:val="21"/>
                <w:szCs w:val="21"/>
                <w:vertAlign w:val="baseline"/>
                <w:lang w:val="en-US" w:eastAsia="zh-CN"/>
              </w:rPr>
              <w:t>违反师德实行“一票否决”制。</w:t>
            </w:r>
          </w:p>
        </w:tc>
        <w:tc>
          <w:tcPr>
            <w:tcW w:w="2700" w:type="dxa"/>
            <w:vAlign w:val="center"/>
          </w:tcPr>
          <w:p w14:paraId="1E0A05B8">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建立师德评价标准，</w:t>
            </w:r>
            <w:r>
              <w:rPr>
                <w:rFonts w:hint="eastAsia" w:ascii="方正仿宋_GBK" w:hAnsi="方正仿宋_GBK" w:eastAsia="方正仿宋_GBK" w:cs="方正仿宋_GBK"/>
                <w:sz w:val="21"/>
                <w:szCs w:val="21"/>
                <w:vertAlign w:val="baseline"/>
                <w:lang w:val="en-US" w:eastAsia="zh-CN"/>
              </w:rPr>
              <w:t>违反师德实行“一票否决”制。</w:t>
            </w:r>
          </w:p>
        </w:tc>
      </w:tr>
      <w:tr w14:paraId="6BC87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40" w:type="dxa"/>
            <w:vMerge w:val="continue"/>
            <w:vAlign w:val="top"/>
          </w:tcPr>
          <w:p w14:paraId="071B0FFF">
            <w:pPr>
              <w:numPr>
                <w:ilvl w:val="0"/>
                <w:numId w:val="0"/>
              </w:numPr>
              <w:jc w:val="center"/>
              <w:rPr>
                <w:rFonts w:hint="default" w:ascii="方正仿宋_GBK" w:hAnsi="方正仿宋_GBK" w:eastAsia="方正仿宋_GBK" w:cs="方正仿宋_GBK"/>
                <w:b/>
                <w:bCs/>
                <w:sz w:val="30"/>
                <w:szCs w:val="30"/>
                <w:vertAlign w:val="baseline"/>
                <w:lang w:val="en-US" w:eastAsia="zh-CN"/>
              </w:rPr>
            </w:pPr>
          </w:p>
        </w:tc>
        <w:tc>
          <w:tcPr>
            <w:tcW w:w="950" w:type="dxa"/>
            <w:vMerge w:val="continue"/>
            <w:vAlign w:val="top"/>
          </w:tcPr>
          <w:p w14:paraId="774AA033">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2130" w:type="dxa"/>
            <w:vMerge w:val="continue"/>
          </w:tcPr>
          <w:p w14:paraId="5FFAACB6">
            <w:pPr>
              <w:numPr>
                <w:ilvl w:val="0"/>
                <w:numId w:val="0"/>
              </w:numPr>
              <w:rPr>
                <w:rFonts w:hint="default" w:ascii="方正仿宋_GBK" w:hAnsi="方正仿宋_GBK" w:eastAsia="方正仿宋_GBK" w:cs="方正仿宋_GBK"/>
                <w:sz w:val="21"/>
                <w:szCs w:val="21"/>
                <w:vertAlign w:val="baseline"/>
                <w:lang w:val="en-US" w:eastAsia="zh-CN"/>
              </w:rPr>
            </w:pPr>
          </w:p>
        </w:tc>
        <w:tc>
          <w:tcPr>
            <w:tcW w:w="800" w:type="dxa"/>
            <w:vAlign w:val="center"/>
          </w:tcPr>
          <w:p w14:paraId="020F3DF9">
            <w:pPr>
              <w:numPr>
                <w:ilvl w:val="0"/>
                <w:numId w:val="0"/>
              </w:numPr>
              <w:jc w:val="center"/>
              <w:rPr>
                <w:rFonts w:hint="default" w:ascii="方正仿宋_GBK" w:hAnsi="方正仿宋_GBK" w:eastAsia="方正仿宋_GBK" w:cs="方正仿宋_GBK"/>
                <w:b/>
                <w:bCs/>
                <w:sz w:val="21"/>
                <w:szCs w:val="21"/>
                <w:vertAlign w:val="baseline"/>
                <w:lang w:val="en-US" w:eastAsia="zh-CN"/>
              </w:rPr>
            </w:pPr>
            <w:r>
              <w:rPr>
                <w:rFonts w:hint="eastAsia" w:ascii="方正仿宋_GBK" w:hAnsi="方正仿宋_GBK" w:eastAsia="方正仿宋_GBK" w:cs="方正仿宋_GBK"/>
                <w:b/>
                <w:bCs/>
                <w:color w:val="000000"/>
                <w:spacing w:val="0"/>
                <w:w w:val="100"/>
                <w:position w:val="0"/>
                <w:sz w:val="21"/>
                <w:szCs w:val="21"/>
                <w:lang w:eastAsia="zh-CN"/>
              </w:rPr>
              <w:t>退出机制</w:t>
            </w:r>
          </w:p>
        </w:tc>
        <w:tc>
          <w:tcPr>
            <w:tcW w:w="2890" w:type="dxa"/>
            <w:vAlign w:val="center"/>
          </w:tcPr>
          <w:p w14:paraId="501755C5">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37.考核不达标者退出，年满75周岁建议退出。</w:t>
            </w:r>
          </w:p>
        </w:tc>
        <w:tc>
          <w:tcPr>
            <w:tcW w:w="2780" w:type="dxa"/>
            <w:vAlign w:val="center"/>
          </w:tcPr>
          <w:p w14:paraId="211936FF">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考核不达标者退出，年满75周岁建议退出。</w:t>
            </w:r>
          </w:p>
        </w:tc>
        <w:tc>
          <w:tcPr>
            <w:tcW w:w="2890" w:type="dxa"/>
            <w:vAlign w:val="center"/>
          </w:tcPr>
          <w:p w14:paraId="48C54A4E">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考核不达标者退出，年满75周岁建议退出。</w:t>
            </w:r>
          </w:p>
        </w:tc>
        <w:tc>
          <w:tcPr>
            <w:tcW w:w="2700" w:type="dxa"/>
            <w:vAlign w:val="center"/>
          </w:tcPr>
          <w:p w14:paraId="187C8592">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考核不达标者退出，年满70周岁建议退出。</w:t>
            </w:r>
          </w:p>
        </w:tc>
      </w:tr>
      <w:tr w14:paraId="05693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840" w:type="dxa"/>
            <w:vMerge w:val="continue"/>
            <w:vAlign w:val="top"/>
          </w:tcPr>
          <w:p w14:paraId="5A6B66E7">
            <w:pPr>
              <w:numPr>
                <w:ilvl w:val="0"/>
                <w:numId w:val="0"/>
              </w:numPr>
              <w:jc w:val="center"/>
              <w:rPr>
                <w:rFonts w:hint="default" w:ascii="方正仿宋_GBK" w:hAnsi="方正仿宋_GBK" w:eastAsia="方正仿宋_GBK" w:cs="方正仿宋_GBK"/>
                <w:b/>
                <w:bCs/>
                <w:sz w:val="30"/>
                <w:szCs w:val="30"/>
                <w:vertAlign w:val="baseline"/>
                <w:lang w:val="en-US" w:eastAsia="zh-CN"/>
              </w:rPr>
            </w:pPr>
          </w:p>
        </w:tc>
        <w:tc>
          <w:tcPr>
            <w:tcW w:w="950" w:type="dxa"/>
            <w:vMerge w:val="restart"/>
            <w:vAlign w:val="center"/>
          </w:tcPr>
          <w:p w14:paraId="1A02807D">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color w:val="000000"/>
                <w:spacing w:val="0"/>
                <w:w w:val="100"/>
                <w:position w:val="0"/>
                <w:sz w:val="24"/>
                <w:szCs w:val="24"/>
                <w:lang w:eastAsia="zh-CN"/>
              </w:rPr>
            </w:pPr>
            <w:r>
              <w:rPr>
                <w:rFonts w:hint="eastAsia" w:ascii="方正仿宋_GBK" w:hAnsi="方正仿宋_GBK" w:eastAsia="方正仿宋_GBK" w:cs="方正仿宋_GBK"/>
                <w:b/>
                <w:bCs/>
                <w:color w:val="000000"/>
                <w:spacing w:val="0"/>
                <w:w w:val="100"/>
                <w:position w:val="0"/>
                <w:sz w:val="24"/>
                <w:szCs w:val="24"/>
                <w:lang w:eastAsia="zh-CN"/>
              </w:rPr>
              <w:t>师资</w:t>
            </w:r>
          </w:p>
          <w:p w14:paraId="4E0153E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000000"/>
                <w:spacing w:val="0"/>
                <w:w w:val="100"/>
                <w:position w:val="0"/>
                <w:sz w:val="24"/>
                <w:szCs w:val="24"/>
                <w:lang w:eastAsia="zh-CN"/>
              </w:rPr>
              <w:t>培养</w:t>
            </w:r>
          </w:p>
        </w:tc>
        <w:tc>
          <w:tcPr>
            <w:tcW w:w="2130" w:type="dxa"/>
            <w:vMerge w:val="restart"/>
            <w:vAlign w:val="center"/>
          </w:tcPr>
          <w:p w14:paraId="0B7D16C9">
            <w:pPr>
              <w:numPr>
                <w:ilvl w:val="0"/>
                <w:numId w:val="0"/>
              </w:numPr>
              <w:jc w:val="both"/>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积极参加各类师资培训。岗前培训制度完备，定期开展各级各类的专业技能和教研业务能力培训。</w:t>
            </w:r>
          </w:p>
        </w:tc>
        <w:tc>
          <w:tcPr>
            <w:tcW w:w="800" w:type="dxa"/>
            <w:vAlign w:val="center"/>
          </w:tcPr>
          <w:p w14:paraId="4C348B79">
            <w:pPr>
              <w:numPr>
                <w:ilvl w:val="0"/>
                <w:numId w:val="0"/>
              </w:numPr>
              <w:jc w:val="center"/>
              <w:rPr>
                <w:rFonts w:hint="default" w:ascii="方正仿宋_GBK" w:hAnsi="方正仿宋_GBK" w:eastAsia="方正仿宋_GBK" w:cs="方正仿宋_GBK"/>
                <w:b/>
                <w:bCs/>
                <w:sz w:val="21"/>
                <w:szCs w:val="21"/>
                <w:vertAlign w:val="baseline"/>
                <w:lang w:val="en-US" w:eastAsia="zh-CN"/>
              </w:rPr>
            </w:pPr>
            <w:r>
              <w:rPr>
                <w:rFonts w:hint="eastAsia" w:ascii="方正仿宋_GBK" w:hAnsi="方正仿宋_GBK" w:eastAsia="方正仿宋_GBK" w:cs="方正仿宋_GBK"/>
                <w:b/>
                <w:bCs/>
                <w:color w:val="000000"/>
                <w:spacing w:val="0"/>
                <w:w w:val="100"/>
                <w:position w:val="0"/>
                <w:sz w:val="21"/>
                <w:szCs w:val="21"/>
                <w:lang w:eastAsia="zh-CN"/>
              </w:rPr>
              <w:t>岗前培训</w:t>
            </w:r>
          </w:p>
        </w:tc>
        <w:tc>
          <w:tcPr>
            <w:tcW w:w="2890" w:type="dxa"/>
            <w:vAlign w:val="center"/>
          </w:tcPr>
          <w:p w14:paraId="3D23E6A6">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38.有岗前培训计划，每学年开展教师岗前培训4次。</w:t>
            </w:r>
          </w:p>
        </w:tc>
        <w:tc>
          <w:tcPr>
            <w:tcW w:w="2780" w:type="dxa"/>
            <w:vAlign w:val="center"/>
          </w:tcPr>
          <w:p w14:paraId="5FA14AF8">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有岗前培训计划，每学年开展教师岗前培训3次。</w:t>
            </w:r>
          </w:p>
        </w:tc>
        <w:tc>
          <w:tcPr>
            <w:tcW w:w="2890" w:type="dxa"/>
            <w:vAlign w:val="center"/>
          </w:tcPr>
          <w:p w14:paraId="250FAE36">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有岗前培训计划，每学年开展教师岗前培训2次。</w:t>
            </w:r>
          </w:p>
        </w:tc>
        <w:tc>
          <w:tcPr>
            <w:tcW w:w="2700" w:type="dxa"/>
            <w:vAlign w:val="center"/>
          </w:tcPr>
          <w:p w14:paraId="6C97BFFD">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有岗前培训计划，每学年开展教师岗前培训1次。</w:t>
            </w:r>
          </w:p>
        </w:tc>
      </w:tr>
      <w:tr w14:paraId="105C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840" w:type="dxa"/>
            <w:vMerge w:val="continue"/>
            <w:vAlign w:val="top"/>
          </w:tcPr>
          <w:p w14:paraId="0ED76901">
            <w:pPr>
              <w:numPr>
                <w:ilvl w:val="0"/>
                <w:numId w:val="0"/>
              </w:numPr>
              <w:jc w:val="center"/>
              <w:rPr>
                <w:rFonts w:hint="default" w:ascii="方正仿宋_GBK" w:hAnsi="方正仿宋_GBK" w:eastAsia="方正仿宋_GBK" w:cs="方正仿宋_GBK"/>
                <w:b/>
                <w:bCs/>
                <w:sz w:val="30"/>
                <w:szCs w:val="30"/>
                <w:vertAlign w:val="baseline"/>
                <w:lang w:val="en-US" w:eastAsia="zh-CN"/>
              </w:rPr>
            </w:pPr>
          </w:p>
        </w:tc>
        <w:tc>
          <w:tcPr>
            <w:tcW w:w="950" w:type="dxa"/>
            <w:vMerge w:val="continue"/>
            <w:vAlign w:val="top"/>
          </w:tcPr>
          <w:p w14:paraId="0F6D109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2130" w:type="dxa"/>
            <w:vMerge w:val="continue"/>
          </w:tcPr>
          <w:p w14:paraId="795C958D">
            <w:pPr>
              <w:numPr>
                <w:ilvl w:val="0"/>
                <w:numId w:val="0"/>
              </w:numPr>
              <w:rPr>
                <w:rFonts w:hint="default" w:ascii="方正仿宋_GBK" w:hAnsi="方正仿宋_GBK" w:eastAsia="方正仿宋_GBK" w:cs="方正仿宋_GBK"/>
                <w:sz w:val="21"/>
                <w:szCs w:val="21"/>
                <w:vertAlign w:val="baseline"/>
                <w:lang w:val="en-US" w:eastAsia="zh-CN"/>
              </w:rPr>
            </w:pPr>
          </w:p>
        </w:tc>
        <w:tc>
          <w:tcPr>
            <w:tcW w:w="800" w:type="dxa"/>
            <w:vAlign w:val="center"/>
          </w:tcPr>
          <w:p w14:paraId="4A2B4237">
            <w:pPr>
              <w:numPr>
                <w:ilvl w:val="0"/>
                <w:numId w:val="0"/>
              </w:numPr>
              <w:jc w:val="center"/>
              <w:rPr>
                <w:rFonts w:hint="default" w:ascii="方正仿宋_GBK" w:hAnsi="方正仿宋_GBK" w:eastAsia="方正仿宋_GBK" w:cs="方正仿宋_GBK"/>
                <w:b/>
                <w:bCs/>
                <w:sz w:val="21"/>
                <w:szCs w:val="21"/>
                <w:vertAlign w:val="baseline"/>
                <w:lang w:val="en-US" w:eastAsia="zh-CN"/>
              </w:rPr>
            </w:pPr>
            <w:r>
              <w:rPr>
                <w:rFonts w:hint="eastAsia" w:ascii="方正仿宋_GBK" w:hAnsi="方正仿宋_GBK" w:eastAsia="方正仿宋_GBK" w:cs="方正仿宋_GBK"/>
                <w:b/>
                <w:bCs/>
                <w:color w:val="000000"/>
                <w:spacing w:val="0"/>
                <w:w w:val="100"/>
                <w:position w:val="0"/>
                <w:sz w:val="21"/>
                <w:szCs w:val="21"/>
                <w:lang w:eastAsia="zh-CN"/>
              </w:rPr>
              <w:t>业务培训</w:t>
            </w:r>
          </w:p>
        </w:tc>
        <w:tc>
          <w:tcPr>
            <w:tcW w:w="2890" w:type="dxa"/>
            <w:vAlign w:val="center"/>
          </w:tcPr>
          <w:p w14:paraId="006EB01C">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39.有业务培训计划，每年有不少于60%的教师参加相关培训。政治教育列入培训内容。</w:t>
            </w:r>
          </w:p>
        </w:tc>
        <w:tc>
          <w:tcPr>
            <w:tcW w:w="2780" w:type="dxa"/>
            <w:vAlign w:val="center"/>
          </w:tcPr>
          <w:p w14:paraId="6EDB838F">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有业务培训计划，每年有不少于50%的教师参加相关培训。政治教育列入培训内容。</w:t>
            </w:r>
          </w:p>
        </w:tc>
        <w:tc>
          <w:tcPr>
            <w:tcW w:w="2890" w:type="dxa"/>
            <w:vAlign w:val="center"/>
          </w:tcPr>
          <w:p w14:paraId="370E00C2">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有业务培训计划，每年有不少于40%的教师参加相关培训。政治教育列入培训内容。</w:t>
            </w:r>
          </w:p>
        </w:tc>
        <w:tc>
          <w:tcPr>
            <w:tcW w:w="2700" w:type="dxa"/>
            <w:vAlign w:val="center"/>
          </w:tcPr>
          <w:p w14:paraId="0AF68E77">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有业务培训计划，每年有不少于30%的教师参加相关培训。政治教育列入培训内容。</w:t>
            </w:r>
          </w:p>
        </w:tc>
      </w:tr>
      <w:tr w14:paraId="62B92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840" w:type="dxa"/>
            <w:vMerge w:val="continue"/>
            <w:vAlign w:val="top"/>
          </w:tcPr>
          <w:p w14:paraId="3F565E5B">
            <w:pPr>
              <w:numPr>
                <w:ilvl w:val="0"/>
                <w:numId w:val="0"/>
              </w:numPr>
              <w:jc w:val="center"/>
              <w:rPr>
                <w:rFonts w:hint="default" w:ascii="方正仿宋_GBK" w:hAnsi="方正仿宋_GBK" w:eastAsia="方正仿宋_GBK" w:cs="方正仿宋_GBK"/>
                <w:b/>
                <w:bCs/>
                <w:sz w:val="30"/>
                <w:szCs w:val="30"/>
                <w:vertAlign w:val="baseline"/>
                <w:lang w:val="en-US" w:eastAsia="zh-CN"/>
              </w:rPr>
            </w:pPr>
          </w:p>
        </w:tc>
        <w:tc>
          <w:tcPr>
            <w:tcW w:w="950" w:type="dxa"/>
            <w:vMerge w:val="continue"/>
            <w:vAlign w:val="top"/>
          </w:tcPr>
          <w:p w14:paraId="4532349C">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2130" w:type="dxa"/>
            <w:vMerge w:val="continue"/>
          </w:tcPr>
          <w:p w14:paraId="1BC1B7A1">
            <w:pPr>
              <w:numPr>
                <w:ilvl w:val="0"/>
                <w:numId w:val="0"/>
              </w:numPr>
              <w:rPr>
                <w:rFonts w:hint="default" w:ascii="方正仿宋_GBK" w:hAnsi="方正仿宋_GBK" w:eastAsia="方正仿宋_GBK" w:cs="方正仿宋_GBK"/>
                <w:sz w:val="21"/>
                <w:szCs w:val="21"/>
                <w:vertAlign w:val="baseline"/>
                <w:lang w:val="en-US" w:eastAsia="zh-CN"/>
              </w:rPr>
            </w:pPr>
          </w:p>
        </w:tc>
        <w:tc>
          <w:tcPr>
            <w:tcW w:w="800" w:type="dxa"/>
            <w:vAlign w:val="center"/>
          </w:tcPr>
          <w:p w14:paraId="483EE2A3">
            <w:pPr>
              <w:numPr>
                <w:ilvl w:val="0"/>
                <w:numId w:val="0"/>
              </w:numPr>
              <w:jc w:val="center"/>
              <w:rPr>
                <w:rFonts w:hint="default" w:ascii="方正仿宋_GBK" w:hAnsi="方正仿宋_GBK" w:eastAsia="方正仿宋_GBK" w:cs="方正仿宋_GBK"/>
                <w:b/>
                <w:bCs/>
                <w:sz w:val="21"/>
                <w:szCs w:val="21"/>
                <w:vertAlign w:val="baseline"/>
                <w:lang w:val="en-US" w:eastAsia="zh-CN"/>
              </w:rPr>
            </w:pPr>
            <w:r>
              <w:rPr>
                <w:rFonts w:hint="eastAsia" w:ascii="方正仿宋_GBK" w:hAnsi="方正仿宋_GBK" w:eastAsia="方正仿宋_GBK" w:cs="方正仿宋_GBK"/>
                <w:b/>
                <w:bCs/>
                <w:color w:val="000000"/>
                <w:spacing w:val="0"/>
                <w:w w:val="100"/>
                <w:position w:val="0"/>
                <w:sz w:val="21"/>
                <w:szCs w:val="21"/>
                <w:lang w:eastAsia="zh-CN"/>
              </w:rPr>
              <w:t>教学</w:t>
            </w:r>
            <w:r>
              <w:rPr>
                <w:rFonts w:hint="eastAsia" w:ascii="方正仿宋_GBK" w:hAnsi="方正仿宋_GBK" w:eastAsia="方正仿宋_GBK" w:cs="方正仿宋_GBK"/>
                <w:b/>
                <w:bCs/>
                <w:color w:val="000000"/>
                <w:spacing w:val="0"/>
                <w:w w:val="100"/>
                <w:position w:val="0"/>
                <w:sz w:val="21"/>
                <w:szCs w:val="21"/>
                <w:lang w:val="en-US" w:eastAsia="zh-CN"/>
              </w:rPr>
              <w:t>成果</w:t>
            </w:r>
          </w:p>
        </w:tc>
        <w:tc>
          <w:tcPr>
            <w:tcW w:w="2890" w:type="dxa"/>
            <w:vAlign w:val="center"/>
          </w:tcPr>
          <w:p w14:paraId="6EBA66E0">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40.近三年在全国或省级教学成果展示和教学能力大赛中获等级奖。</w:t>
            </w:r>
          </w:p>
        </w:tc>
        <w:tc>
          <w:tcPr>
            <w:tcW w:w="2780" w:type="dxa"/>
            <w:vAlign w:val="center"/>
          </w:tcPr>
          <w:p w14:paraId="2453BFF7">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近三年在全国、省级、市级教学成果展示和教学能力大赛中获等级奖。</w:t>
            </w:r>
          </w:p>
        </w:tc>
        <w:tc>
          <w:tcPr>
            <w:tcW w:w="2890" w:type="dxa"/>
            <w:vAlign w:val="center"/>
          </w:tcPr>
          <w:p w14:paraId="41D90C8B">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近三年在省级、市级、县（市、区）教学成果展示和教学能力大赛中取得优异成绩。</w:t>
            </w:r>
          </w:p>
        </w:tc>
        <w:tc>
          <w:tcPr>
            <w:tcW w:w="2700" w:type="dxa"/>
            <w:vAlign w:val="center"/>
          </w:tcPr>
          <w:p w14:paraId="25D71090">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近三年在本区域内教学成果展示和教学能力大赛中取得优异成绩。</w:t>
            </w:r>
          </w:p>
        </w:tc>
      </w:tr>
      <w:tr w14:paraId="35F2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840" w:type="dxa"/>
            <w:vMerge w:val="restart"/>
            <w:vAlign w:val="center"/>
          </w:tcPr>
          <w:p w14:paraId="4F85735E">
            <w:pPr>
              <w:numPr>
                <w:ilvl w:val="0"/>
                <w:numId w:val="0"/>
              </w:numPr>
              <w:jc w:val="center"/>
              <w:rPr>
                <w:rFonts w:hint="eastAsia" w:ascii="方正仿宋_GBK" w:hAnsi="方正仿宋_GBK" w:eastAsia="方正仿宋_GBK" w:cs="方正仿宋_GBK"/>
                <w:b/>
                <w:bCs/>
                <w:sz w:val="30"/>
                <w:szCs w:val="30"/>
                <w:vertAlign w:val="baseline"/>
                <w:lang w:eastAsia="zh-CN"/>
              </w:rPr>
            </w:pPr>
            <w:r>
              <w:rPr>
                <w:rFonts w:hint="eastAsia" w:ascii="方正仿宋_GBK" w:hAnsi="方正仿宋_GBK" w:eastAsia="方正仿宋_GBK" w:cs="方正仿宋_GBK"/>
                <w:b/>
                <w:bCs/>
                <w:sz w:val="30"/>
                <w:szCs w:val="30"/>
                <w:vertAlign w:val="baseline"/>
                <w:lang w:val="en-US" w:eastAsia="zh-CN"/>
              </w:rPr>
              <w:t>五、</w:t>
            </w:r>
            <w:r>
              <w:rPr>
                <w:rFonts w:hint="eastAsia" w:ascii="方正仿宋_GBK" w:hAnsi="方正仿宋_GBK" w:eastAsia="方正仿宋_GBK" w:cs="方正仿宋_GBK"/>
                <w:b/>
                <w:bCs/>
                <w:sz w:val="30"/>
                <w:szCs w:val="30"/>
                <w:vertAlign w:val="baseline"/>
                <w:lang w:eastAsia="zh-CN"/>
              </w:rPr>
              <w:t>学</w:t>
            </w:r>
          </w:p>
          <w:p w14:paraId="1452AA48">
            <w:pPr>
              <w:numPr>
                <w:ilvl w:val="0"/>
                <w:numId w:val="0"/>
              </w:numPr>
              <w:jc w:val="center"/>
              <w:rPr>
                <w:rFonts w:hint="eastAsia" w:ascii="方正仿宋_GBK" w:hAnsi="方正仿宋_GBK" w:eastAsia="方正仿宋_GBK" w:cs="方正仿宋_GBK"/>
                <w:b/>
                <w:bCs/>
                <w:sz w:val="30"/>
                <w:szCs w:val="30"/>
                <w:vertAlign w:val="baseline"/>
                <w:lang w:eastAsia="zh-CN"/>
              </w:rPr>
            </w:pPr>
            <w:r>
              <w:rPr>
                <w:rFonts w:hint="eastAsia" w:ascii="方正仿宋_GBK" w:hAnsi="方正仿宋_GBK" w:eastAsia="方正仿宋_GBK" w:cs="方正仿宋_GBK"/>
                <w:b/>
                <w:bCs/>
                <w:sz w:val="30"/>
                <w:szCs w:val="30"/>
                <w:vertAlign w:val="baseline"/>
                <w:lang w:eastAsia="zh-CN"/>
              </w:rPr>
              <w:t>员</w:t>
            </w:r>
          </w:p>
          <w:p w14:paraId="2340D8E4">
            <w:pPr>
              <w:numPr>
                <w:ilvl w:val="0"/>
                <w:numId w:val="0"/>
              </w:numPr>
              <w:jc w:val="center"/>
              <w:rPr>
                <w:rFonts w:hint="eastAsia" w:ascii="方正仿宋_GBK" w:hAnsi="方正仿宋_GBK" w:eastAsia="方正仿宋_GBK" w:cs="方正仿宋_GBK"/>
                <w:b/>
                <w:bCs/>
                <w:sz w:val="30"/>
                <w:szCs w:val="30"/>
                <w:vertAlign w:val="baseline"/>
                <w:lang w:eastAsia="zh-CN"/>
              </w:rPr>
            </w:pPr>
            <w:r>
              <w:rPr>
                <w:rFonts w:hint="eastAsia" w:ascii="方正仿宋_GBK" w:hAnsi="方正仿宋_GBK" w:eastAsia="方正仿宋_GBK" w:cs="方正仿宋_GBK"/>
                <w:b/>
                <w:bCs/>
                <w:sz w:val="30"/>
                <w:szCs w:val="30"/>
                <w:vertAlign w:val="baseline"/>
                <w:lang w:eastAsia="zh-CN"/>
              </w:rPr>
              <w:t>管</w:t>
            </w:r>
          </w:p>
          <w:p w14:paraId="0BB92D9C">
            <w:pPr>
              <w:numPr>
                <w:ilvl w:val="0"/>
                <w:numId w:val="0"/>
              </w:numPr>
              <w:jc w:val="center"/>
              <w:rPr>
                <w:rFonts w:hint="default" w:ascii="方正仿宋_GBK" w:hAnsi="方正仿宋_GBK" w:eastAsia="方正仿宋_GBK" w:cs="方正仿宋_GBK"/>
                <w:b/>
                <w:bCs/>
                <w:sz w:val="30"/>
                <w:szCs w:val="30"/>
                <w:vertAlign w:val="baseline"/>
                <w:lang w:val="en-US" w:eastAsia="zh-CN"/>
              </w:rPr>
            </w:pPr>
            <w:r>
              <w:rPr>
                <w:rFonts w:hint="eastAsia" w:ascii="方正仿宋_GBK" w:hAnsi="方正仿宋_GBK" w:eastAsia="方正仿宋_GBK" w:cs="方正仿宋_GBK"/>
                <w:b/>
                <w:bCs/>
                <w:sz w:val="30"/>
                <w:szCs w:val="30"/>
                <w:vertAlign w:val="baseline"/>
                <w:lang w:eastAsia="zh-CN"/>
              </w:rPr>
              <w:t>理</w:t>
            </w:r>
          </w:p>
        </w:tc>
        <w:tc>
          <w:tcPr>
            <w:tcW w:w="950" w:type="dxa"/>
            <w:vMerge w:val="restart"/>
            <w:vAlign w:val="center"/>
          </w:tcPr>
          <w:p w14:paraId="44EC3744">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color w:val="000000"/>
                <w:spacing w:val="0"/>
                <w:w w:val="100"/>
                <w:position w:val="0"/>
                <w:sz w:val="24"/>
                <w:szCs w:val="24"/>
                <w:lang w:eastAsia="zh-CN"/>
              </w:rPr>
            </w:pPr>
            <w:r>
              <w:rPr>
                <w:rFonts w:hint="eastAsia" w:ascii="方正仿宋_GBK" w:hAnsi="方正仿宋_GBK" w:eastAsia="方正仿宋_GBK" w:cs="方正仿宋_GBK"/>
                <w:b/>
                <w:bCs/>
                <w:color w:val="000000"/>
                <w:spacing w:val="0"/>
                <w:w w:val="100"/>
                <w:position w:val="0"/>
                <w:sz w:val="24"/>
                <w:szCs w:val="24"/>
                <w:lang w:eastAsia="zh-CN"/>
              </w:rPr>
              <w:t>招生</w:t>
            </w:r>
          </w:p>
          <w:p w14:paraId="54AD320F">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color w:val="000000"/>
                <w:spacing w:val="0"/>
                <w:w w:val="100"/>
                <w:position w:val="0"/>
                <w:sz w:val="24"/>
                <w:szCs w:val="24"/>
                <w:lang w:eastAsia="zh-CN"/>
              </w:rPr>
              <w:t>管理</w:t>
            </w:r>
          </w:p>
        </w:tc>
        <w:tc>
          <w:tcPr>
            <w:tcW w:w="2130" w:type="dxa"/>
            <w:vMerge w:val="restart"/>
            <w:vAlign w:val="center"/>
          </w:tcPr>
          <w:p w14:paraId="5F74568C">
            <w:pPr>
              <w:numPr>
                <w:ilvl w:val="0"/>
                <w:numId w:val="0"/>
              </w:num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招生规范</w:t>
            </w:r>
          </w:p>
          <w:p w14:paraId="514580EE">
            <w:pPr>
              <w:numPr>
                <w:ilvl w:val="0"/>
                <w:numId w:val="0"/>
              </w:num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制度健全</w:t>
            </w:r>
          </w:p>
          <w:p w14:paraId="0CF6BE66">
            <w:pPr>
              <w:numPr>
                <w:ilvl w:val="0"/>
                <w:numId w:val="0"/>
              </w:numPr>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管理到位</w:t>
            </w:r>
          </w:p>
          <w:p w14:paraId="3D7EF50F">
            <w:pPr>
              <w:numPr>
                <w:ilvl w:val="0"/>
                <w:numId w:val="0"/>
              </w:numPr>
              <w:jc w:val="center"/>
              <w:rPr>
                <w:rFonts w:hint="default" w:ascii="方正仿宋_GBK" w:hAnsi="方正仿宋_GBK" w:eastAsia="方正仿宋_GBK" w:cs="方正仿宋_GBK"/>
                <w:sz w:val="21"/>
                <w:szCs w:val="21"/>
                <w:vertAlign w:val="baseline"/>
                <w:lang w:val="en-US" w:eastAsia="zh-CN"/>
              </w:rPr>
            </w:pPr>
          </w:p>
        </w:tc>
        <w:tc>
          <w:tcPr>
            <w:tcW w:w="800" w:type="dxa"/>
            <w:vAlign w:val="center"/>
          </w:tcPr>
          <w:p w14:paraId="62256F55">
            <w:pPr>
              <w:numPr>
                <w:ilvl w:val="0"/>
                <w:numId w:val="0"/>
              </w:numPr>
              <w:jc w:val="center"/>
              <w:rPr>
                <w:rFonts w:hint="default" w:ascii="方正仿宋_GBK" w:hAnsi="方正仿宋_GBK" w:eastAsia="方正仿宋_GBK" w:cs="方正仿宋_GBK"/>
                <w:b/>
                <w:bCs/>
                <w:sz w:val="21"/>
                <w:szCs w:val="21"/>
                <w:vertAlign w:val="baseline"/>
                <w:lang w:val="en-US" w:eastAsia="zh-CN"/>
              </w:rPr>
            </w:pPr>
            <w:r>
              <w:rPr>
                <w:rFonts w:hint="eastAsia" w:ascii="方正仿宋_GBK" w:hAnsi="方正仿宋_GBK" w:eastAsia="方正仿宋_GBK" w:cs="方正仿宋_GBK"/>
                <w:b/>
                <w:bCs/>
                <w:color w:val="000000"/>
                <w:spacing w:val="0"/>
                <w:w w:val="100"/>
                <w:position w:val="0"/>
                <w:sz w:val="21"/>
                <w:szCs w:val="21"/>
                <w:lang w:eastAsia="zh-CN"/>
              </w:rPr>
              <w:t>招生规范</w:t>
            </w:r>
          </w:p>
        </w:tc>
        <w:tc>
          <w:tcPr>
            <w:tcW w:w="2890" w:type="dxa"/>
            <w:vAlign w:val="center"/>
          </w:tcPr>
          <w:p w14:paraId="0519711A">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41.有明确的招生规章，录取工作公开公平公正，广为学员接受，执行良好。</w:t>
            </w:r>
          </w:p>
        </w:tc>
        <w:tc>
          <w:tcPr>
            <w:tcW w:w="2780" w:type="dxa"/>
            <w:vAlign w:val="center"/>
          </w:tcPr>
          <w:p w14:paraId="5974589F">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有明确的招生规章，录取工作公开公平公正，广为学员接受，执行良好。</w:t>
            </w:r>
          </w:p>
        </w:tc>
        <w:tc>
          <w:tcPr>
            <w:tcW w:w="2890" w:type="dxa"/>
            <w:vAlign w:val="center"/>
          </w:tcPr>
          <w:p w14:paraId="15CEF35B">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有明确的招生规章，录取工作公开公平公正，广为学员接受，执行良好。</w:t>
            </w:r>
          </w:p>
        </w:tc>
        <w:tc>
          <w:tcPr>
            <w:tcW w:w="2700" w:type="dxa"/>
            <w:vAlign w:val="center"/>
          </w:tcPr>
          <w:p w14:paraId="610CC4E5">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有招生简章，录取工作广为学员接受，执行良好。</w:t>
            </w:r>
          </w:p>
        </w:tc>
      </w:tr>
      <w:tr w14:paraId="3BAE1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840" w:type="dxa"/>
            <w:vMerge w:val="continue"/>
            <w:vAlign w:val="top"/>
          </w:tcPr>
          <w:p w14:paraId="1C9BC35B">
            <w:pPr>
              <w:numPr>
                <w:ilvl w:val="0"/>
                <w:numId w:val="0"/>
              </w:numPr>
              <w:jc w:val="center"/>
              <w:rPr>
                <w:rFonts w:hint="eastAsia" w:ascii="方正仿宋_GBK" w:hAnsi="方正仿宋_GBK" w:eastAsia="方正仿宋_GBK" w:cs="方正仿宋_GBK"/>
                <w:b/>
                <w:bCs/>
                <w:sz w:val="21"/>
                <w:szCs w:val="21"/>
                <w:vertAlign w:val="baseline"/>
                <w:lang w:eastAsia="zh-CN"/>
              </w:rPr>
            </w:pPr>
          </w:p>
        </w:tc>
        <w:tc>
          <w:tcPr>
            <w:tcW w:w="950" w:type="dxa"/>
            <w:vMerge w:val="continue"/>
            <w:vAlign w:val="center"/>
          </w:tcPr>
          <w:p w14:paraId="7A8FE81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color w:val="000000"/>
                <w:spacing w:val="0"/>
                <w:w w:val="100"/>
                <w:position w:val="0"/>
                <w:sz w:val="24"/>
                <w:szCs w:val="24"/>
                <w:lang w:eastAsia="zh-CN"/>
              </w:rPr>
            </w:pPr>
          </w:p>
        </w:tc>
        <w:tc>
          <w:tcPr>
            <w:tcW w:w="2130" w:type="dxa"/>
            <w:vMerge w:val="continue"/>
          </w:tcPr>
          <w:p w14:paraId="5FB1BB23">
            <w:pPr>
              <w:numPr>
                <w:ilvl w:val="0"/>
                <w:numId w:val="0"/>
              </w:numPr>
              <w:rPr>
                <w:rFonts w:hint="default" w:ascii="方正仿宋_GBK" w:hAnsi="方正仿宋_GBK" w:eastAsia="方正仿宋_GBK" w:cs="方正仿宋_GBK"/>
                <w:sz w:val="21"/>
                <w:szCs w:val="21"/>
                <w:vertAlign w:val="baseline"/>
                <w:lang w:val="en-US" w:eastAsia="zh-CN"/>
              </w:rPr>
            </w:pPr>
          </w:p>
        </w:tc>
        <w:tc>
          <w:tcPr>
            <w:tcW w:w="800" w:type="dxa"/>
            <w:vAlign w:val="center"/>
          </w:tcPr>
          <w:p w14:paraId="6A840428">
            <w:pPr>
              <w:numPr>
                <w:ilvl w:val="0"/>
                <w:numId w:val="0"/>
              </w:numPr>
              <w:jc w:val="center"/>
              <w:rPr>
                <w:rFonts w:hint="default" w:ascii="方正仿宋_GBK" w:hAnsi="方正仿宋_GBK" w:eastAsia="方正仿宋_GBK" w:cs="方正仿宋_GBK"/>
                <w:b/>
                <w:bCs/>
                <w:color w:val="000000"/>
                <w:spacing w:val="0"/>
                <w:w w:val="100"/>
                <w:position w:val="0"/>
                <w:sz w:val="21"/>
                <w:szCs w:val="21"/>
                <w:lang w:val="en-US" w:eastAsia="zh-CN"/>
              </w:rPr>
            </w:pPr>
            <w:r>
              <w:rPr>
                <w:rFonts w:hint="eastAsia" w:ascii="方正仿宋_GBK" w:hAnsi="方正仿宋_GBK" w:eastAsia="方正仿宋_GBK" w:cs="方正仿宋_GBK"/>
                <w:b/>
                <w:bCs/>
                <w:color w:val="000000"/>
                <w:spacing w:val="0"/>
                <w:w w:val="100"/>
                <w:position w:val="0"/>
                <w:sz w:val="21"/>
                <w:szCs w:val="21"/>
                <w:lang w:val="en-US" w:eastAsia="zh-CN"/>
              </w:rPr>
              <w:t>办学规模</w:t>
            </w:r>
          </w:p>
        </w:tc>
        <w:tc>
          <w:tcPr>
            <w:tcW w:w="2890" w:type="dxa"/>
            <w:vAlign w:val="center"/>
          </w:tcPr>
          <w:p w14:paraId="4757EF95">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42.学员数8000人次以上（含8000人次）。根据发展需要和学员需求，课程开设不少于40门、70个班级。</w:t>
            </w:r>
          </w:p>
        </w:tc>
        <w:tc>
          <w:tcPr>
            <w:tcW w:w="2780" w:type="dxa"/>
            <w:vAlign w:val="center"/>
          </w:tcPr>
          <w:p w14:paraId="0C5F9C28">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学员数5000人次（含5000人次）以上或不少于常住老年人口总数30%。课程开设不少于30门、60个班级。</w:t>
            </w:r>
          </w:p>
        </w:tc>
        <w:tc>
          <w:tcPr>
            <w:tcW w:w="2890" w:type="dxa"/>
            <w:vAlign w:val="center"/>
          </w:tcPr>
          <w:p w14:paraId="7EF59D50">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学员数1500人次（含1500人次）以上或不少于常住老年人口总数30%。课程开设不少于20门、35个班级。</w:t>
            </w:r>
          </w:p>
        </w:tc>
        <w:tc>
          <w:tcPr>
            <w:tcW w:w="2700" w:type="dxa"/>
            <w:vAlign w:val="center"/>
          </w:tcPr>
          <w:p w14:paraId="1B8F14DB">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学员数达到500人次（含分校和教学点）或不少于常住老年人口总数30%。。课程开设不少于5门、10个班级。</w:t>
            </w:r>
          </w:p>
        </w:tc>
      </w:tr>
      <w:tr w14:paraId="69850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840" w:type="dxa"/>
            <w:vMerge w:val="continue"/>
            <w:vAlign w:val="top"/>
          </w:tcPr>
          <w:p w14:paraId="497ACBCA">
            <w:pPr>
              <w:numPr>
                <w:ilvl w:val="0"/>
                <w:numId w:val="0"/>
              </w:numPr>
              <w:jc w:val="center"/>
              <w:rPr>
                <w:rFonts w:hint="default" w:ascii="方正仿宋_GBK" w:hAnsi="方正仿宋_GBK" w:eastAsia="方正仿宋_GBK" w:cs="方正仿宋_GBK"/>
                <w:b/>
                <w:bCs/>
                <w:sz w:val="30"/>
                <w:szCs w:val="30"/>
                <w:vertAlign w:val="baseline"/>
                <w:lang w:val="en-US" w:eastAsia="zh-CN"/>
              </w:rPr>
            </w:pPr>
          </w:p>
        </w:tc>
        <w:tc>
          <w:tcPr>
            <w:tcW w:w="950" w:type="dxa"/>
            <w:vMerge w:val="continue"/>
            <w:vAlign w:val="center"/>
          </w:tcPr>
          <w:p w14:paraId="625BA88F">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b/>
                <w:bCs/>
                <w:sz w:val="24"/>
                <w:szCs w:val="24"/>
                <w:vertAlign w:val="baseline"/>
                <w:lang w:val="en-US" w:eastAsia="zh-CN"/>
              </w:rPr>
            </w:pPr>
          </w:p>
        </w:tc>
        <w:tc>
          <w:tcPr>
            <w:tcW w:w="2130" w:type="dxa"/>
            <w:vMerge w:val="continue"/>
          </w:tcPr>
          <w:p w14:paraId="41556BBB">
            <w:pPr>
              <w:numPr>
                <w:ilvl w:val="0"/>
                <w:numId w:val="0"/>
              </w:numPr>
              <w:rPr>
                <w:rFonts w:hint="default" w:ascii="方正仿宋_GBK" w:hAnsi="方正仿宋_GBK" w:eastAsia="方正仿宋_GBK" w:cs="方正仿宋_GBK"/>
                <w:sz w:val="21"/>
                <w:szCs w:val="21"/>
                <w:vertAlign w:val="baseline"/>
                <w:lang w:val="en-US" w:eastAsia="zh-CN"/>
              </w:rPr>
            </w:pPr>
          </w:p>
        </w:tc>
        <w:tc>
          <w:tcPr>
            <w:tcW w:w="800" w:type="dxa"/>
            <w:vAlign w:val="center"/>
          </w:tcPr>
          <w:p w14:paraId="0662B989">
            <w:pPr>
              <w:numPr>
                <w:ilvl w:val="0"/>
                <w:numId w:val="0"/>
              </w:numPr>
              <w:jc w:val="center"/>
              <w:rPr>
                <w:rFonts w:hint="default" w:ascii="方正仿宋_GBK" w:hAnsi="方正仿宋_GBK" w:eastAsia="方正仿宋_GBK" w:cs="方正仿宋_GBK"/>
                <w:b/>
                <w:bCs/>
                <w:sz w:val="21"/>
                <w:szCs w:val="21"/>
                <w:vertAlign w:val="baseline"/>
                <w:lang w:val="en-US" w:eastAsia="zh-CN"/>
              </w:rPr>
            </w:pPr>
            <w:r>
              <w:rPr>
                <w:rFonts w:hint="eastAsia" w:ascii="方正仿宋_GBK" w:hAnsi="方正仿宋_GBK" w:eastAsia="方正仿宋_GBK" w:cs="方正仿宋_GBK"/>
                <w:b/>
                <w:bCs/>
                <w:color w:val="000000"/>
                <w:spacing w:val="0"/>
                <w:w w:val="100"/>
                <w:position w:val="0"/>
                <w:sz w:val="21"/>
                <w:szCs w:val="21"/>
                <w:lang w:eastAsia="zh-CN"/>
              </w:rPr>
              <w:t>学籍管理</w:t>
            </w:r>
          </w:p>
        </w:tc>
        <w:tc>
          <w:tcPr>
            <w:tcW w:w="2890" w:type="dxa"/>
            <w:vAlign w:val="center"/>
          </w:tcPr>
          <w:p w14:paraId="416D0378">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43.学籍管理全面实现系统化、信息化、网络化。</w:t>
            </w:r>
          </w:p>
        </w:tc>
        <w:tc>
          <w:tcPr>
            <w:tcW w:w="2780" w:type="dxa"/>
            <w:vAlign w:val="center"/>
          </w:tcPr>
          <w:p w14:paraId="3F667E66">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学籍管理基本实现系统化、信息化、网络化。</w:t>
            </w:r>
          </w:p>
        </w:tc>
        <w:tc>
          <w:tcPr>
            <w:tcW w:w="2890" w:type="dxa"/>
            <w:vAlign w:val="center"/>
          </w:tcPr>
          <w:p w14:paraId="4B22E7C5">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学籍管理逐步实现系统化、信息化、网络化。</w:t>
            </w:r>
          </w:p>
        </w:tc>
        <w:tc>
          <w:tcPr>
            <w:tcW w:w="2700" w:type="dxa"/>
            <w:vAlign w:val="center"/>
          </w:tcPr>
          <w:p w14:paraId="008FA0B7">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学籍管理初步实现系统化、信息化、网络化。</w:t>
            </w:r>
          </w:p>
        </w:tc>
      </w:tr>
      <w:tr w14:paraId="56A92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840" w:type="dxa"/>
            <w:vMerge w:val="continue"/>
            <w:vAlign w:val="top"/>
          </w:tcPr>
          <w:p w14:paraId="0BB4F425">
            <w:pPr>
              <w:numPr>
                <w:ilvl w:val="0"/>
                <w:numId w:val="0"/>
              </w:numPr>
              <w:jc w:val="center"/>
              <w:rPr>
                <w:rFonts w:hint="default" w:ascii="方正仿宋_GBK" w:hAnsi="方正仿宋_GBK" w:eastAsia="方正仿宋_GBK" w:cs="方正仿宋_GBK"/>
                <w:b/>
                <w:bCs/>
                <w:sz w:val="30"/>
                <w:szCs w:val="30"/>
                <w:vertAlign w:val="baseline"/>
                <w:lang w:val="en-US" w:eastAsia="zh-CN"/>
              </w:rPr>
            </w:pPr>
          </w:p>
        </w:tc>
        <w:tc>
          <w:tcPr>
            <w:tcW w:w="950" w:type="dxa"/>
            <w:vAlign w:val="center"/>
          </w:tcPr>
          <w:p w14:paraId="71641E6E">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日常</w:t>
            </w:r>
          </w:p>
          <w:p w14:paraId="0D65A10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服务</w:t>
            </w:r>
          </w:p>
        </w:tc>
        <w:tc>
          <w:tcPr>
            <w:tcW w:w="2130" w:type="dxa"/>
            <w:vAlign w:val="center"/>
          </w:tcPr>
          <w:p w14:paraId="4092C338">
            <w:pPr>
              <w:numPr>
                <w:ilvl w:val="0"/>
                <w:numId w:val="0"/>
              </w:numPr>
              <w:jc w:val="both"/>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建立并完善管理制度，逐步实现管理系统数字化。</w:t>
            </w:r>
          </w:p>
        </w:tc>
        <w:tc>
          <w:tcPr>
            <w:tcW w:w="800" w:type="dxa"/>
            <w:vAlign w:val="center"/>
          </w:tcPr>
          <w:p w14:paraId="229C4B96">
            <w:pPr>
              <w:numPr>
                <w:ilvl w:val="0"/>
                <w:numId w:val="0"/>
              </w:numPr>
              <w:jc w:val="center"/>
              <w:rPr>
                <w:rFonts w:hint="default" w:ascii="方正仿宋_GBK" w:hAnsi="方正仿宋_GBK" w:eastAsia="方正仿宋_GBK" w:cs="方正仿宋_GBK"/>
                <w:b/>
                <w:bCs/>
                <w:color w:val="000000"/>
                <w:spacing w:val="0"/>
                <w:w w:val="100"/>
                <w:position w:val="0"/>
                <w:sz w:val="21"/>
                <w:szCs w:val="21"/>
                <w:lang w:val="en-US" w:eastAsia="zh-CN"/>
              </w:rPr>
            </w:pPr>
            <w:r>
              <w:rPr>
                <w:rFonts w:hint="eastAsia" w:ascii="方正仿宋_GBK" w:hAnsi="方正仿宋_GBK" w:eastAsia="方正仿宋_GBK" w:cs="方正仿宋_GBK"/>
                <w:b/>
                <w:bCs/>
                <w:color w:val="000000"/>
                <w:spacing w:val="0"/>
                <w:w w:val="100"/>
                <w:position w:val="0"/>
                <w:sz w:val="21"/>
                <w:szCs w:val="21"/>
                <w:lang w:val="en-US" w:eastAsia="zh-CN"/>
              </w:rPr>
              <w:t>建立健全制度</w:t>
            </w:r>
          </w:p>
        </w:tc>
        <w:tc>
          <w:tcPr>
            <w:tcW w:w="2890" w:type="dxa"/>
            <w:vAlign w:val="center"/>
          </w:tcPr>
          <w:p w14:paraId="76B5D51C">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44.建立健全教室管理、学员守则、班长职责、线上管理等规章制度。</w:t>
            </w:r>
          </w:p>
        </w:tc>
        <w:tc>
          <w:tcPr>
            <w:tcW w:w="2780" w:type="dxa"/>
            <w:vAlign w:val="center"/>
          </w:tcPr>
          <w:p w14:paraId="17266A1E">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逐步建立教室管理、学员守则、班长职责、线上管理等规章制度。</w:t>
            </w:r>
          </w:p>
        </w:tc>
        <w:tc>
          <w:tcPr>
            <w:tcW w:w="2890" w:type="dxa"/>
            <w:vAlign w:val="center"/>
          </w:tcPr>
          <w:p w14:paraId="1840FE8E">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初步建立教室管理、学员守则、班长职责、线上管理等规章制度。</w:t>
            </w:r>
          </w:p>
        </w:tc>
        <w:tc>
          <w:tcPr>
            <w:tcW w:w="2700" w:type="dxa"/>
            <w:vAlign w:val="center"/>
          </w:tcPr>
          <w:p w14:paraId="7860E094">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有相关管理规章制度。</w:t>
            </w:r>
          </w:p>
        </w:tc>
      </w:tr>
      <w:tr w14:paraId="76697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840" w:type="dxa"/>
            <w:vMerge w:val="continue"/>
            <w:vAlign w:val="top"/>
          </w:tcPr>
          <w:p w14:paraId="1D85209A">
            <w:pPr>
              <w:numPr>
                <w:ilvl w:val="0"/>
                <w:numId w:val="0"/>
              </w:numPr>
              <w:jc w:val="center"/>
              <w:rPr>
                <w:rFonts w:hint="default" w:ascii="方正仿宋_GBK" w:hAnsi="方正仿宋_GBK" w:eastAsia="方正仿宋_GBK" w:cs="方正仿宋_GBK"/>
                <w:b/>
                <w:bCs/>
                <w:sz w:val="30"/>
                <w:szCs w:val="30"/>
                <w:vertAlign w:val="baseline"/>
                <w:lang w:val="en-US" w:eastAsia="zh-CN"/>
              </w:rPr>
            </w:pPr>
          </w:p>
        </w:tc>
        <w:tc>
          <w:tcPr>
            <w:tcW w:w="950" w:type="dxa"/>
            <w:vMerge w:val="restart"/>
            <w:vAlign w:val="center"/>
          </w:tcPr>
          <w:p w14:paraId="1C8673A3">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社团</w:t>
            </w:r>
          </w:p>
          <w:p w14:paraId="4A57DEF3">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管理</w:t>
            </w:r>
          </w:p>
        </w:tc>
        <w:tc>
          <w:tcPr>
            <w:tcW w:w="2130" w:type="dxa"/>
            <w:vMerge w:val="restart"/>
            <w:vAlign w:val="center"/>
          </w:tcPr>
          <w:p w14:paraId="45EB4D47">
            <w:pPr>
              <w:numPr>
                <w:ilvl w:val="0"/>
                <w:numId w:val="0"/>
              </w:numPr>
              <w:jc w:val="both"/>
              <w:rPr>
                <w:rFonts w:hint="eastAsia" w:ascii="方正仿宋_GBK" w:hAnsi="方正仿宋_GBK" w:cs="方正仿宋_GBK" w:eastAsiaTheme="minorEastAsia"/>
                <w:sz w:val="21"/>
                <w:szCs w:val="21"/>
                <w:vertAlign w:val="baseline"/>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社团数量符合本级老年大学要求，有完备的社团管理章程，社团活动丰富，参与人员广泛，产生一定的社会影响力。</w:t>
            </w:r>
          </w:p>
        </w:tc>
        <w:tc>
          <w:tcPr>
            <w:tcW w:w="800" w:type="dxa"/>
            <w:vAlign w:val="center"/>
          </w:tcPr>
          <w:p w14:paraId="302C333C">
            <w:pPr>
              <w:numPr>
                <w:ilvl w:val="0"/>
                <w:numId w:val="0"/>
              </w:numPr>
              <w:jc w:val="center"/>
              <w:rPr>
                <w:rFonts w:hint="default" w:ascii="方正仿宋_GBK" w:hAnsi="方正仿宋_GBK" w:eastAsia="方正仿宋_GBK" w:cs="方正仿宋_GBK"/>
                <w:b/>
                <w:bCs/>
                <w:color w:val="000000"/>
                <w:spacing w:val="0"/>
                <w:w w:val="100"/>
                <w:position w:val="0"/>
                <w:sz w:val="21"/>
                <w:szCs w:val="21"/>
                <w:lang w:val="en-US" w:eastAsia="zh-CN"/>
              </w:rPr>
            </w:pPr>
            <w:r>
              <w:rPr>
                <w:rFonts w:hint="eastAsia" w:ascii="方正仿宋_GBK" w:hAnsi="方正仿宋_GBK" w:eastAsia="方正仿宋_GBK" w:cs="方正仿宋_GBK"/>
                <w:b/>
                <w:bCs/>
                <w:color w:val="000000"/>
                <w:spacing w:val="0"/>
                <w:w w:val="100"/>
                <w:position w:val="0"/>
                <w:sz w:val="21"/>
                <w:szCs w:val="21"/>
                <w:lang w:val="en-US" w:eastAsia="zh-CN"/>
              </w:rPr>
              <w:t>社团数量</w:t>
            </w:r>
          </w:p>
        </w:tc>
        <w:tc>
          <w:tcPr>
            <w:tcW w:w="2890" w:type="dxa"/>
            <w:vAlign w:val="center"/>
          </w:tcPr>
          <w:p w14:paraId="2E38B5D0">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45.经学校批准、能够满足学员需求的社团组织不少于15个。</w:t>
            </w:r>
          </w:p>
        </w:tc>
        <w:tc>
          <w:tcPr>
            <w:tcW w:w="2780" w:type="dxa"/>
            <w:vAlign w:val="center"/>
          </w:tcPr>
          <w:p w14:paraId="65F81C21">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经学校批准、能够满足学员需求的社团组织不少于10个。</w:t>
            </w:r>
          </w:p>
        </w:tc>
        <w:tc>
          <w:tcPr>
            <w:tcW w:w="2890" w:type="dxa"/>
            <w:vAlign w:val="center"/>
          </w:tcPr>
          <w:p w14:paraId="00B54ECB">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经学校批准、能够满足学员需求的社团组织不少于5个。</w:t>
            </w:r>
          </w:p>
        </w:tc>
        <w:tc>
          <w:tcPr>
            <w:tcW w:w="2700" w:type="dxa"/>
            <w:vAlign w:val="center"/>
          </w:tcPr>
          <w:p w14:paraId="630B4B19">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经学校批准，能够满足学员需求的社团组织若干。</w:t>
            </w:r>
          </w:p>
        </w:tc>
      </w:tr>
      <w:tr w14:paraId="7299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840" w:type="dxa"/>
            <w:vMerge w:val="continue"/>
            <w:vAlign w:val="top"/>
          </w:tcPr>
          <w:p w14:paraId="360E618C">
            <w:pPr>
              <w:numPr>
                <w:ilvl w:val="0"/>
                <w:numId w:val="0"/>
              </w:numPr>
              <w:jc w:val="center"/>
              <w:rPr>
                <w:rFonts w:hint="default" w:ascii="方正仿宋_GBK" w:hAnsi="方正仿宋_GBK" w:eastAsia="方正仿宋_GBK" w:cs="方正仿宋_GBK"/>
                <w:b/>
                <w:bCs/>
                <w:sz w:val="30"/>
                <w:szCs w:val="30"/>
                <w:vertAlign w:val="baseline"/>
                <w:lang w:val="en-US" w:eastAsia="zh-CN"/>
              </w:rPr>
            </w:pPr>
          </w:p>
        </w:tc>
        <w:tc>
          <w:tcPr>
            <w:tcW w:w="950" w:type="dxa"/>
            <w:vMerge w:val="continue"/>
            <w:vAlign w:val="top"/>
          </w:tcPr>
          <w:p w14:paraId="576C5F63">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2130" w:type="dxa"/>
            <w:vMerge w:val="continue"/>
          </w:tcPr>
          <w:p w14:paraId="0C986566">
            <w:pPr>
              <w:numPr>
                <w:ilvl w:val="0"/>
                <w:numId w:val="0"/>
              </w:numPr>
              <w:rPr>
                <w:rFonts w:hint="eastAsia" w:ascii="方正仿宋_GBK" w:hAnsi="方正仿宋_GBK" w:eastAsia="方正仿宋_GBK" w:cs="方正仿宋_GBK"/>
                <w:sz w:val="21"/>
                <w:szCs w:val="21"/>
                <w:vertAlign w:val="baseline"/>
                <w:lang w:val="en-US" w:eastAsia="zh-CN"/>
              </w:rPr>
            </w:pPr>
          </w:p>
        </w:tc>
        <w:tc>
          <w:tcPr>
            <w:tcW w:w="800" w:type="dxa"/>
            <w:vAlign w:val="center"/>
          </w:tcPr>
          <w:p w14:paraId="10595FBE">
            <w:pPr>
              <w:numPr>
                <w:ilvl w:val="0"/>
                <w:numId w:val="0"/>
              </w:numPr>
              <w:jc w:val="center"/>
              <w:rPr>
                <w:rFonts w:hint="default" w:ascii="方正仿宋_GBK" w:hAnsi="方正仿宋_GBK" w:eastAsia="方正仿宋_GBK" w:cs="方正仿宋_GBK"/>
                <w:b/>
                <w:bCs/>
                <w:color w:val="000000"/>
                <w:spacing w:val="0"/>
                <w:w w:val="100"/>
                <w:position w:val="0"/>
                <w:sz w:val="21"/>
                <w:szCs w:val="21"/>
                <w:lang w:val="en-US" w:eastAsia="zh-CN"/>
              </w:rPr>
            </w:pPr>
            <w:r>
              <w:rPr>
                <w:rFonts w:hint="eastAsia" w:ascii="方正仿宋_GBK" w:hAnsi="方正仿宋_GBK" w:eastAsia="方正仿宋_GBK" w:cs="方正仿宋_GBK"/>
                <w:b/>
                <w:bCs/>
                <w:color w:val="000000"/>
                <w:spacing w:val="0"/>
                <w:w w:val="100"/>
                <w:position w:val="0"/>
                <w:sz w:val="21"/>
                <w:szCs w:val="21"/>
                <w:lang w:val="en-US" w:eastAsia="zh-CN"/>
              </w:rPr>
              <w:t>社团建设</w:t>
            </w:r>
          </w:p>
        </w:tc>
        <w:tc>
          <w:tcPr>
            <w:tcW w:w="2890" w:type="dxa"/>
            <w:vAlign w:val="center"/>
          </w:tcPr>
          <w:p w14:paraId="6A0D7BC6">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46.组织架构、团员权利义务规定、组织活动等有章可循。每年至少总结一次。</w:t>
            </w:r>
          </w:p>
        </w:tc>
        <w:tc>
          <w:tcPr>
            <w:tcW w:w="2780" w:type="dxa"/>
            <w:vAlign w:val="center"/>
          </w:tcPr>
          <w:p w14:paraId="2C35E670">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组织架构、团员权利义务规定、组织活动等有章可循。每年至少总结一次。</w:t>
            </w:r>
          </w:p>
        </w:tc>
        <w:tc>
          <w:tcPr>
            <w:tcW w:w="2890" w:type="dxa"/>
            <w:vAlign w:val="center"/>
          </w:tcPr>
          <w:p w14:paraId="6BA0352A">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组织架构、团员权利义务规定、组织活动等有章可循。每年至少总结一次。</w:t>
            </w:r>
          </w:p>
        </w:tc>
        <w:tc>
          <w:tcPr>
            <w:tcW w:w="2700" w:type="dxa"/>
            <w:vAlign w:val="center"/>
          </w:tcPr>
          <w:p w14:paraId="74DE41BE">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有相关规章制度，及时总结。</w:t>
            </w:r>
          </w:p>
        </w:tc>
      </w:tr>
      <w:tr w14:paraId="2636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840" w:type="dxa"/>
            <w:vMerge w:val="continue"/>
            <w:vAlign w:val="top"/>
          </w:tcPr>
          <w:p w14:paraId="4A424914">
            <w:pPr>
              <w:numPr>
                <w:ilvl w:val="0"/>
                <w:numId w:val="0"/>
              </w:numPr>
              <w:jc w:val="center"/>
              <w:rPr>
                <w:rFonts w:hint="default" w:ascii="方正仿宋_GBK" w:hAnsi="方正仿宋_GBK" w:eastAsia="方正仿宋_GBK" w:cs="方正仿宋_GBK"/>
                <w:b/>
                <w:bCs/>
                <w:sz w:val="30"/>
                <w:szCs w:val="30"/>
                <w:vertAlign w:val="baseline"/>
                <w:lang w:val="en-US" w:eastAsia="zh-CN"/>
              </w:rPr>
            </w:pPr>
          </w:p>
        </w:tc>
        <w:tc>
          <w:tcPr>
            <w:tcW w:w="950" w:type="dxa"/>
            <w:vMerge w:val="continue"/>
            <w:vAlign w:val="top"/>
          </w:tcPr>
          <w:p w14:paraId="46A63FB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2130" w:type="dxa"/>
            <w:vMerge w:val="continue"/>
          </w:tcPr>
          <w:p w14:paraId="5692A26B">
            <w:pPr>
              <w:numPr>
                <w:ilvl w:val="0"/>
                <w:numId w:val="0"/>
              </w:numPr>
              <w:rPr>
                <w:rFonts w:hint="eastAsia" w:ascii="方正仿宋_GBK" w:hAnsi="方正仿宋_GBK" w:eastAsia="方正仿宋_GBK" w:cs="方正仿宋_GBK"/>
                <w:sz w:val="21"/>
                <w:szCs w:val="21"/>
                <w:vertAlign w:val="baseline"/>
                <w:lang w:val="en-US" w:eastAsia="zh-CN"/>
              </w:rPr>
            </w:pPr>
          </w:p>
        </w:tc>
        <w:tc>
          <w:tcPr>
            <w:tcW w:w="800" w:type="dxa"/>
            <w:vAlign w:val="center"/>
          </w:tcPr>
          <w:p w14:paraId="5A0D0C1A">
            <w:pPr>
              <w:numPr>
                <w:ilvl w:val="0"/>
                <w:numId w:val="0"/>
              </w:numPr>
              <w:jc w:val="center"/>
              <w:rPr>
                <w:rFonts w:hint="default" w:ascii="方正仿宋_GBK" w:hAnsi="方正仿宋_GBK" w:eastAsia="方正仿宋_GBK" w:cs="方正仿宋_GBK"/>
                <w:b/>
                <w:bCs/>
                <w:color w:val="000000"/>
                <w:spacing w:val="0"/>
                <w:w w:val="100"/>
                <w:position w:val="0"/>
                <w:sz w:val="21"/>
                <w:szCs w:val="21"/>
                <w:lang w:val="en-US" w:eastAsia="zh-CN"/>
              </w:rPr>
            </w:pPr>
            <w:r>
              <w:rPr>
                <w:rFonts w:hint="eastAsia" w:ascii="方正仿宋_GBK" w:hAnsi="方正仿宋_GBK" w:eastAsia="方正仿宋_GBK" w:cs="方正仿宋_GBK"/>
                <w:b/>
                <w:bCs/>
                <w:color w:val="000000"/>
                <w:spacing w:val="0"/>
                <w:w w:val="100"/>
                <w:position w:val="0"/>
                <w:sz w:val="21"/>
                <w:szCs w:val="21"/>
                <w:lang w:val="en-US" w:eastAsia="zh-CN"/>
              </w:rPr>
              <w:t>社团活动</w:t>
            </w:r>
          </w:p>
        </w:tc>
        <w:tc>
          <w:tcPr>
            <w:tcW w:w="2890" w:type="dxa"/>
            <w:vAlign w:val="center"/>
          </w:tcPr>
          <w:p w14:paraId="18D5FC5E">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47.围绕学为结合、服务社会，定期组织活动。每年至少开展1至4次以上。</w:t>
            </w:r>
          </w:p>
        </w:tc>
        <w:tc>
          <w:tcPr>
            <w:tcW w:w="2780" w:type="dxa"/>
            <w:vAlign w:val="center"/>
          </w:tcPr>
          <w:p w14:paraId="65D6B17C">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围绕学为结合、服务社会，定期组织社团活动，每年至少开展1至3次以上。</w:t>
            </w:r>
          </w:p>
        </w:tc>
        <w:tc>
          <w:tcPr>
            <w:tcW w:w="2890" w:type="dxa"/>
            <w:vAlign w:val="center"/>
          </w:tcPr>
          <w:p w14:paraId="2C1F1118">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围绕学为结合、服务社会，定期组织社团活动，每年至少开展1至2次以上。</w:t>
            </w:r>
          </w:p>
        </w:tc>
        <w:tc>
          <w:tcPr>
            <w:tcW w:w="2700" w:type="dxa"/>
            <w:vAlign w:val="center"/>
          </w:tcPr>
          <w:p w14:paraId="10791961">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适时组织学员开展社团活动，鼓励学员积极参与。</w:t>
            </w:r>
          </w:p>
        </w:tc>
      </w:tr>
      <w:tr w14:paraId="3070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840" w:type="dxa"/>
            <w:vMerge w:val="restart"/>
            <w:vAlign w:val="center"/>
          </w:tcPr>
          <w:p w14:paraId="38F607E2">
            <w:pPr>
              <w:numPr>
                <w:ilvl w:val="0"/>
                <w:numId w:val="0"/>
              </w:numPr>
              <w:jc w:val="center"/>
              <w:rPr>
                <w:rFonts w:hint="eastAsia" w:ascii="方正仿宋_GBK" w:hAnsi="方正仿宋_GBK" w:eastAsia="方正仿宋_GBK" w:cs="方正仿宋_GBK"/>
                <w:b/>
                <w:bCs/>
                <w:sz w:val="30"/>
                <w:szCs w:val="30"/>
                <w:vertAlign w:val="baseline"/>
                <w:lang w:eastAsia="zh-CN"/>
              </w:rPr>
            </w:pPr>
            <w:r>
              <w:rPr>
                <w:rFonts w:hint="eastAsia" w:ascii="方正仿宋_GBK" w:hAnsi="方正仿宋_GBK" w:eastAsia="方正仿宋_GBK" w:cs="方正仿宋_GBK"/>
                <w:b/>
                <w:bCs/>
                <w:sz w:val="30"/>
                <w:szCs w:val="30"/>
                <w:vertAlign w:val="baseline"/>
                <w:lang w:val="en-US" w:eastAsia="zh-CN"/>
              </w:rPr>
              <w:t>六、</w:t>
            </w:r>
            <w:r>
              <w:rPr>
                <w:rFonts w:hint="eastAsia" w:ascii="方正仿宋_GBK" w:hAnsi="方正仿宋_GBK" w:eastAsia="方正仿宋_GBK" w:cs="方正仿宋_GBK"/>
                <w:b/>
                <w:bCs/>
                <w:sz w:val="30"/>
                <w:szCs w:val="30"/>
                <w:vertAlign w:val="baseline"/>
                <w:lang w:eastAsia="zh-CN"/>
              </w:rPr>
              <w:t>办</w:t>
            </w:r>
          </w:p>
          <w:p w14:paraId="301085CC">
            <w:pPr>
              <w:numPr>
                <w:ilvl w:val="0"/>
                <w:numId w:val="0"/>
              </w:numPr>
              <w:jc w:val="center"/>
              <w:rPr>
                <w:rFonts w:hint="eastAsia" w:ascii="方正仿宋_GBK" w:hAnsi="方正仿宋_GBK" w:eastAsia="方正仿宋_GBK" w:cs="方正仿宋_GBK"/>
                <w:b/>
                <w:bCs/>
                <w:sz w:val="30"/>
                <w:szCs w:val="30"/>
                <w:vertAlign w:val="baseline"/>
                <w:lang w:eastAsia="zh-CN"/>
              </w:rPr>
            </w:pPr>
            <w:r>
              <w:rPr>
                <w:rFonts w:hint="eastAsia" w:ascii="方正仿宋_GBK" w:hAnsi="方正仿宋_GBK" w:eastAsia="方正仿宋_GBK" w:cs="方正仿宋_GBK"/>
                <w:b/>
                <w:bCs/>
                <w:sz w:val="30"/>
                <w:szCs w:val="30"/>
                <w:vertAlign w:val="baseline"/>
                <w:lang w:eastAsia="zh-CN"/>
              </w:rPr>
              <w:t>学</w:t>
            </w:r>
          </w:p>
          <w:p w14:paraId="681285D5">
            <w:pPr>
              <w:numPr>
                <w:ilvl w:val="0"/>
                <w:numId w:val="0"/>
              </w:numPr>
              <w:jc w:val="center"/>
              <w:rPr>
                <w:rFonts w:hint="eastAsia" w:ascii="方正仿宋_GBK" w:hAnsi="方正仿宋_GBK" w:eastAsia="方正仿宋_GBK" w:cs="方正仿宋_GBK"/>
                <w:b/>
                <w:bCs/>
                <w:sz w:val="30"/>
                <w:szCs w:val="30"/>
                <w:vertAlign w:val="baseline"/>
                <w:lang w:eastAsia="zh-CN"/>
              </w:rPr>
            </w:pPr>
            <w:r>
              <w:rPr>
                <w:rFonts w:hint="eastAsia" w:ascii="方正仿宋_GBK" w:hAnsi="方正仿宋_GBK" w:eastAsia="方正仿宋_GBK" w:cs="方正仿宋_GBK"/>
                <w:b/>
                <w:bCs/>
                <w:sz w:val="30"/>
                <w:szCs w:val="30"/>
                <w:vertAlign w:val="baseline"/>
                <w:lang w:eastAsia="zh-CN"/>
              </w:rPr>
              <w:t>条</w:t>
            </w:r>
          </w:p>
          <w:p w14:paraId="119DB6E0">
            <w:pPr>
              <w:numPr>
                <w:ilvl w:val="0"/>
                <w:numId w:val="0"/>
              </w:numPr>
              <w:jc w:val="center"/>
              <w:rPr>
                <w:rFonts w:hint="default" w:ascii="方正仿宋_GBK" w:hAnsi="方正仿宋_GBK" w:eastAsia="方正仿宋_GBK" w:cs="方正仿宋_GBK"/>
                <w:b/>
                <w:bCs/>
                <w:sz w:val="30"/>
                <w:szCs w:val="30"/>
                <w:vertAlign w:val="baseline"/>
                <w:lang w:val="en-US" w:eastAsia="zh-CN"/>
              </w:rPr>
            </w:pPr>
            <w:r>
              <w:rPr>
                <w:rFonts w:hint="eastAsia" w:ascii="方正仿宋_GBK" w:hAnsi="方正仿宋_GBK" w:eastAsia="方正仿宋_GBK" w:cs="方正仿宋_GBK"/>
                <w:b/>
                <w:bCs/>
                <w:sz w:val="30"/>
                <w:szCs w:val="30"/>
                <w:vertAlign w:val="baseline"/>
                <w:lang w:eastAsia="zh-CN"/>
              </w:rPr>
              <w:t>件</w:t>
            </w:r>
          </w:p>
        </w:tc>
        <w:tc>
          <w:tcPr>
            <w:tcW w:w="950" w:type="dxa"/>
            <w:vMerge w:val="restart"/>
            <w:vAlign w:val="center"/>
          </w:tcPr>
          <w:p w14:paraId="4376B4C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color w:val="000000"/>
                <w:spacing w:val="0"/>
                <w:w w:val="100"/>
                <w:position w:val="0"/>
                <w:sz w:val="24"/>
                <w:szCs w:val="24"/>
                <w:lang w:eastAsia="zh-CN"/>
              </w:rPr>
            </w:pPr>
            <w:r>
              <w:rPr>
                <w:rFonts w:hint="eastAsia" w:ascii="方正仿宋_GBK" w:hAnsi="方正仿宋_GBK" w:eastAsia="方正仿宋_GBK" w:cs="方正仿宋_GBK"/>
                <w:b/>
                <w:bCs/>
                <w:color w:val="000000"/>
                <w:spacing w:val="0"/>
                <w:w w:val="100"/>
                <w:position w:val="0"/>
                <w:sz w:val="24"/>
                <w:szCs w:val="24"/>
                <w:lang w:eastAsia="zh-CN"/>
              </w:rPr>
              <w:t>建筑</w:t>
            </w:r>
          </w:p>
          <w:p w14:paraId="0AE652F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color w:val="000000"/>
                <w:spacing w:val="0"/>
                <w:w w:val="100"/>
                <w:position w:val="0"/>
                <w:sz w:val="24"/>
                <w:szCs w:val="24"/>
                <w:lang w:eastAsia="zh-CN"/>
              </w:rPr>
              <w:t>标准</w:t>
            </w:r>
          </w:p>
        </w:tc>
        <w:tc>
          <w:tcPr>
            <w:tcW w:w="2130" w:type="dxa"/>
            <w:vMerge w:val="restart"/>
            <w:vAlign w:val="center"/>
          </w:tcPr>
          <w:p w14:paraId="3AD57CB3">
            <w:pPr>
              <w:numPr>
                <w:ilvl w:val="0"/>
                <w:numId w:val="0"/>
              </w:numPr>
              <w:ind w:leftChars="0"/>
              <w:jc w:val="both"/>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教室、电梯、走廊、标识等建设标准符合国家和省市要求。</w:t>
            </w:r>
          </w:p>
        </w:tc>
        <w:tc>
          <w:tcPr>
            <w:tcW w:w="800" w:type="dxa"/>
            <w:vAlign w:val="center"/>
          </w:tcPr>
          <w:p w14:paraId="0BFD4A37">
            <w:pPr>
              <w:numPr>
                <w:ilvl w:val="0"/>
                <w:numId w:val="0"/>
              </w:numPr>
              <w:jc w:val="center"/>
              <w:rPr>
                <w:rFonts w:hint="default" w:ascii="方正仿宋_GBK" w:hAnsi="方正仿宋_GBK" w:eastAsia="方正仿宋_GBK" w:cs="方正仿宋_GBK"/>
                <w:b/>
                <w:bCs/>
                <w:color w:val="000000"/>
                <w:spacing w:val="0"/>
                <w:w w:val="100"/>
                <w:position w:val="0"/>
                <w:sz w:val="21"/>
                <w:szCs w:val="21"/>
                <w:lang w:val="en-US" w:eastAsia="zh-CN"/>
              </w:rPr>
            </w:pPr>
            <w:r>
              <w:rPr>
                <w:rFonts w:hint="eastAsia" w:ascii="方正仿宋_GBK" w:hAnsi="方正仿宋_GBK" w:eastAsia="方正仿宋_GBK" w:cs="方正仿宋_GBK"/>
                <w:b/>
                <w:bCs/>
                <w:color w:val="000000"/>
                <w:spacing w:val="0"/>
                <w:w w:val="100"/>
                <w:position w:val="0"/>
                <w:sz w:val="21"/>
                <w:szCs w:val="21"/>
                <w:lang w:val="en-US" w:eastAsia="zh-CN"/>
              </w:rPr>
              <w:t>设计要求</w:t>
            </w:r>
          </w:p>
        </w:tc>
        <w:tc>
          <w:tcPr>
            <w:tcW w:w="2890" w:type="dxa"/>
            <w:vAlign w:val="center"/>
          </w:tcPr>
          <w:p w14:paraId="2BDCA0EC">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48.建筑面积3万平方米以上（含3万平方米），有相应的室外活动场所。教室净层高≥3米；室内外地面高差≤0.6米；底层室内地面高于室外地面0.3米或以上。</w:t>
            </w:r>
          </w:p>
        </w:tc>
        <w:tc>
          <w:tcPr>
            <w:tcW w:w="2780" w:type="dxa"/>
            <w:vAlign w:val="center"/>
          </w:tcPr>
          <w:p w14:paraId="7BCA2759">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建筑面积5000平方米以上（含5000平方米），有相应的室外活动场所。教室净层高≥3米；室内外地面高差≤0.6米；底层室内地面高于室外地面0.3米或以上。</w:t>
            </w:r>
          </w:p>
        </w:tc>
        <w:tc>
          <w:tcPr>
            <w:tcW w:w="2890" w:type="dxa"/>
            <w:vAlign w:val="center"/>
          </w:tcPr>
          <w:p w14:paraId="285370BD">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建筑面积3000平方米以上（含3000平方米），有相应的室外活动场所。教室净层高≥3米；室内外地面高差≤0.6米。</w:t>
            </w:r>
          </w:p>
        </w:tc>
        <w:tc>
          <w:tcPr>
            <w:tcW w:w="2700" w:type="dxa"/>
            <w:vAlign w:val="center"/>
          </w:tcPr>
          <w:p w14:paraId="31B78A0C">
            <w:pPr>
              <w:numPr>
                <w:ilvl w:val="0"/>
                <w:numId w:val="0"/>
              </w:numPr>
              <w:ind w:leftChars="0"/>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建筑面积不少于500平方米。教学用房符合老年学校教学要求，并进行涉老化改造。</w:t>
            </w:r>
          </w:p>
        </w:tc>
      </w:tr>
      <w:tr w14:paraId="1EC43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trPr>
        <w:tc>
          <w:tcPr>
            <w:tcW w:w="840" w:type="dxa"/>
            <w:vMerge w:val="continue"/>
          </w:tcPr>
          <w:p w14:paraId="43909033">
            <w:pPr>
              <w:numPr>
                <w:ilvl w:val="0"/>
                <w:numId w:val="0"/>
              </w:numPr>
              <w:rPr>
                <w:rFonts w:hint="default" w:ascii="方正仿宋_GBK" w:hAnsi="方正仿宋_GBK" w:eastAsia="方正仿宋_GBK" w:cs="方正仿宋_GBK"/>
                <w:sz w:val="30"/>
                <w:szCs w:val="30"/>
                <w:vertAlign w:val="baseline"/>
                <w:lang w:val="en-US" w:eastAsia="zh-CN"/>
              </w:rPr>
            </w:pPr>
          </w:p>
        </w:tc>
        <w:tc>
          <w:tcPr>
            <w:tcW w:w="950" w:type="dxa"/>
            <w:vMerge w:val="continue"/>
            <w:vAlign w:val="top"/>
          </w:tcPr>
          <w:p w14:paraId="2804837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2130" w:type="dxa"/>
            <w:vMerge w:val="continue"/>
          </w:tcPr>
          <w:p w14:paraId="19E8A3AF">
            <w:pPr>
              <w:numPr>
                <w:ilvl w:val="0"/>
                <w:numId w:val="0"/>
              </w:numPr>
              <w:rPr>
                <w:rFonts w:hint="default" w:ascii="方正仿宋_GBK" w:hAnsi="方正仿宋_GBK" w:eastAsia="方正仿宋_GBK" w:cs="方正仿宋_GBK"/>
                <w:sz w:val="21"/>
                <w:szCs w:val="21"/>
                <w:vertAlign w:val="baseline"/>
                <w:lang w:val="en-US" w:eastAsia="zh-CN"/>
              </w:rPr>
            </w:pPr>
          </w:p>
        </w:tc>
        <w:tc>
          <w:tcPr>
            <w:tcW w:w="800" w:type="dxa"/>
            <w:vAlign w:val="center"/>
          </w:tcPr>
          <w:p w14:paraId="2D0B5119">
            <w:pPr>
              <w:numPr>
                <w:ilvl w:val="0"/>
                <w:numId w:val="0"/>
              </w:numPr>
              <w:jc w:val="center"/>
              <w:rPr>
                <w:rFonts w:hint="default" w:ascii="方正仿宋_GBK" w:hAnsi="方正仿宋_GBK" w:eastAsia="方正仿宋_GBK" w:cs="方正仿宋_GBK"/>
                <w:b/>
                <w:bCs/>
                <w:color w:val="000000"/>
                <w:spacing w:val="0"/>
                <w:w w:val="100"/>
                <w:position w:val="0"/>
                <w:sz w:val="21"/>
                <w:szCs w:val="21"/>
                <w:lang w:val="en-US" w:eastAsia="zh-CN"/>
              </w:rPr>
            </w:pPr>
            <w:r>
              <w:rPr>
                <w:rFonts w:hint="eastAsia" w:ascii="方正仿宋_GBK" w:hAnsi="方正仿宋_GBK" w:eastAsia="方正仿宋_GBK" w:cs="方正仿宋_GBK"/>
                <w:b/>
                <w:bCs/>
                <w:color w:val="000000"/>
                <w:spacing w:val="0"/>
                <w:w w:val="100"/>
                <w:position w:val="0"/>
                <w:sz w:val="21"/>
                <w:szCs w:val="21"/>
                <w:lang w:val="en-US" w:eastAsia="zh-CN"/>
              </w:rPr>
              <w:t>校内交通要求</w:t>
            </w:r>
          </w:p>
        </w:tc>
        <w:tc>
          <w:tcPr>
            <w:tcW w:w="2890" w:type="dxa"/>
            <w:vAlign w:val="center"/>
          </w:tcPr>
          <w:p w14:paraId="1E41E100">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49.总层高超过3层应安装低速感应电梯；走廊宽度≥2米，不设置门槛；楼梯踏步踢面高度≤130毫米，踏步踢面宽度≥320毫米，踏面前沿安装异色防滑警示条，楼梯一侧或双侧安装扶手；地面采用耐磨、防滑、平整的建筑材料，建筑出入口和室内通道应为无障碍通道。</w:t>
            </w:r>
          </w:p>
        </w:tc>
        <w:tc>
          <w:tcPr>
            <w:tcW w:w="2780" w:type="dxa"/>
            <w:vAlign w:val="center"/>
          </w:tcPr>
          <w:p w14:paraId="181168CA">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总层高超过3层应安装低速感应电梯；走廊宽度≥2米，不设置门槛；楼梯踏步踢面高度≤130毫米，踏步踢面宽度≥320毫米，踏面前沿安装异色防滑警示条，楼梯一侧或双侧安装扶手；地面采用耐磨、防滑、平整的建筑材料，建筑出入口和室内通道应为无障碍通道。</w:t>
            </w:r>
          </w:p>
        </w:tc>
        <w:tc>
          <w:tcPr>
            <w:tcW w:w="2890" w:type="dxa"/>
            <w:vAlign w:val="center"/>
          </w:tcPr>
          <w:p w14:paraId="760BB3C1">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总层高超过3层应安装低速感应电梯；走廊宽度≥1.8米；楼梯踏步踢面高度≤130毫米，踏步踢面宽度≥320毫米，踏面前沿安装异色防滑警示条，楼梯一侧或双侧安装扶手；地面采用耐磨、防滑、平整的建筑材料，建筑出入口和室内通道应为无障碍通道。</w:t>
            </w:r>
          </w:p>
        </w:tc>
        <w:tc>
          <w:tcPr>
            <w:tcW w:w="2700" w:type="dxa"/>
            <w:vAlign w:val="center"/>
          </w:tcPr>
          <w:p w14:paraId="4C604703">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校园内应进行涉老化改造，方便老年学员安全出行。</w:t>
            </w:r>
          </w:p>
        </w:tc>
      </w:tr>
      <w:tr w14:paraId="3B4FE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840" w:type="dxa"/>
            <w:vMerge w:val="continue"/>
          </w:tcPr>
          <w:p w14:paraId="5D79E7AD">
            <w:pPr>
              <w:numPr>
                <w:ilvl w:val="0"/>
                <w:numId w:val="0"/>
              </w:numPr>
              <w:rPr>
                <w:rFonts w:hint="default" w:ascii="方正仿宋_GBK" w:hAnsi="方正仿宋_GBK" w:eastAsia="方正仿宋_GBK" w:cs="方正仿宋_GBK"/>
                <w:sz w:val="30"/>
                <w:szCs w:val="30"/>
                <w:vertAlign w:val="baseline"/>
                <w:lang w:val="en-US" w:eastAsia="zh-CN"/>
              </w:rPr>
            </w:pPr>
          </w:p>
        </w:tc>
        <w:tc>
          <w:tcPr>
            <w:tcW w:w="950" w:type="dxa"/>
            <w:vMerge w:val="continue"/>
            <w:vAlign w:val="top"/>
          </w:tcPr>
          <w:p w14:paraId="71753313">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2130" w:type="dxa"/>
            <w:vMerge w:val="continue"/>
          </w:tcPr>
          <w:p w14:paraId="19ADF7D5">
            <w:pPr>
              <w:numPr>
                <w:ilvl w:val="0"/>
                <w:numId w:val="0"/>
              </w:numPr>
              <w:rPr>
                <w:rFonts w:hint="default" w:ascii="方正仿宋_GBK" w:hAnsi="方正仿宋_GBK" w:eastAsia="方正仿宋_GBK" w:cs="方正仿宋_GBK"/>
                <w:sz w:val="21"/>
                <w:szCs w:val="21"/>
                <w:vertAlign w:val="baseline"/>
                <w:lang w:val="en-US" w:eastAsia="zh-CN"/>
              </w:rPr>
            </w:pPr>
          </w:p>
        </w:tc>
        <w:tc>
          <w:tcPr>
            <w:tcW w:w="800" w:type="dxa"/>
            <w:vAlign w:val="center"/>
          </w:tcPr>
          <w:p w14:paraId="04CAF86A">
            <w:pPr>
              <w:numPr>
                <w:ilvl w:val="0"/>
                <w:numId w:val="0"/>
              </w:numPr>
              <w:jc w:val="center"/>
              <w:rPr>
                <w:rFonts w:hint="default" w:ascii="方正仿宋_GBK" w:hAnsi="方正仿宋_GBK" w:eastAsia="方正仿宋_GBK" w:cs="方正仿宋_GBK"/>
                <w:b/>
                <w:bCs/>
                <w:color w:val="000000"/>
                <w:spacing w:val="0"/>
                <w:w w:val="100"/>
                <w:position w:val="0"/>
                <w:sz w:val="21"/>
                <w:szCs w:val="21"/>
                <w:lang w:val="en-US" w:eastAsia="zh-CN"/>
              </w:rPr>
            </w:pPr>
            <w:r>
              <w:rPr>
                <w:rFonts w:hint="eastAsia" w:ascii="方正仿宋_GBK" w:hAnsi="方正仿宋_GBK" w:eastAsia="方正仿宋_GBK" w:cs="方正仿宋_GBK"/>
                <w:b/>
                <w:bCs/>
                <w:color w:val="000000"/>
                <w:spacing w:val="0"/>
                <w:w w:val="100"/>
                <w:position w:val="0"/>
                <w:sz w:val="21"/>
                <w:szCs w:val="21"/>
                <w:lang w:val="en-US" w:eastAsia="zh-CN"/>
              </w:rPr>
              <w:t>标识要求</w:t>
            </w:r>
          </w:p>
        </w:tc>
        <w:tc>
          <w:tcPr>
            <w:tcW w:w="2890" w:type="dxa"/>
            <w:vAlign w:val="center"/>
          </w:tcPr>
          <w:p w14:paraId="3A601363">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50.校内各类导向、警示等标识完整、清晰、简明，方便学员辨认；主要出入口和楼道设有专门橱窗或宣传栏。</w:t>
            </w:r>
          </w:p>
        </w:tc>
        <w:tc>
          <w:tcPr>
            <w:tcW w:w="2780" w:type="dxa"/>
            <w:vAlign w:val="center"/>
          </w:tcPr>
          <w:p w14:paraId="211728C9">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校内各类导向、警示等标识完整、清晰、简明，方便学员辨认；主要出入口和楼道设有专门橱窗或宣传栏。</w:t>
            </w:r>
          </w:p>
        </w:tc>
        <w:tc>
          <w:tcPr>
            <w:tcW w:w="2890" w:type="dxa"/>
            <w:vAlign w:val="center"/>
          </w:tcPr>
          <w:p w14:paraId="4FD8377B">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校内各类导向、警示等标识完整、清晰、简明，方便学员辨认；主要出入口和楼道设有专门橱窗或宣传栏。</w:t>
            </w:r>
          </w:p>
        </w:tc>
        <w:tc>
          <w:tcPr>
            <w:tcW w:w="2700" w:type="dxa"/>
            <w:vAlign w:val="center"/>
          </w:tcPr>
          <w:p w14:paraId="75B3B555">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校内各类导向、警示等标识完整、清晰、简明，方便学员辨认。</w:t>
            </w:r>
          </w:p>
        </w:tc>
      </w:tr>
      <w:tr w14:paraId="6009A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6" w:hRule="atLeast"/>
        </w:trPr>
        <w:tc>
          <w:tcPr>
            <w:tcW w:w="840" w:type="dxa"/>
            <w:vMerge w:val="continue"/>
          </w:tcPr>
          <w:p w14:paraId="2FB6FB8F">
            <w:pPr>
              <w:numPr>
                <w:ilvl w:val="0"/>
                <w:numId w:val="0"/>
              </w:numPr>
              <w:rPr>
                <w:rFonts w:hint="default" w:ascii="方正仿宋_GBK" w:hAnsi="方正仿宋_GBK" w:eastAsia="方正仿宋_GBK" w:cs="方正仿宋_GBK"/>
                <w:sz w:val="30"/>
                <w:szCs w:val="30"/>
                <w:vertAlign w:val="baseline"/>
                <w:lang w:val="en-US" w:eastAsia="zh-CN"/>
              </w:rPr>
            </w:pPr>
          </w:p>
        </w:tc>
        <w:tc>
          <w:tcPr>
            <w:tcW w:w="950" w:type="dxa"/>
            <w:vMerge w:val="continue"/>
            <w:vAlign w:val="top"/>
          </w:tcPr>
          <w:p w14:paraId="5D29F094">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2130" w:type="dxa"/>
            <w:vMerge w:val="continue"/>
          </w:tcPr>
          <w:p w14:paraId="06439552">
            <w:pPr>
              <w:numPr>
                <w:ilvl w:val="0"/>
                <w:numId w:val="0"/>
              </w:numPr>
              <w:rPr>
                <w:rFonts w:hint="default" w:ascii="方正仿宋_GBK" w:hAnsi="方正仿宋_GBK" w:eastAsia="方正仿宋_GBK" w:cs="方正仿宋_GBK"/>
                <w:sz w:val="21"/>
                <w:szCs w:val="21"/>
                <w:vertAlign w:val="baseline"/>
                <w:lang w:val="en-US" w:eastAsia="zh-CN"/>
              </w:rPr>
            </w:pPr>
          </w:p>
        </w:tc>
        <w:tc>
          <w:tcPr>
            <w:tcW w:w="800" w:type="dxa"/>
            <w:vAlign w:val="center"/>
          </w:tcPr>
          <w:p w14:paraId="2622E720">
            <w:pPr>
              <w:numPr>
                <w:ilvl w:val="0"/>
                <w:numId w:val="0"/>
              </w:numPr>
              <w:jc w:val="center"/>
              <w:rPr>
                <w:rFonts w:hint="default" w:ascii="方正仿宋_GBK" w:hAnsi="方正仿宋_GBK" w:eastAsia="方正仿宋_GBK" w:cs="方正仿宋_GBK"/>
                <w:b/>
                <w:bCs/>
                <w:color w:val="000000"/>
                <w:spacing w:val="0"/>
                <w:w w:val="100"/>
                <w:position w:val="0"/>
                <w:sz w:val="21"/>
                <w:szCs w:val="21"/>
                <w:lang w:val="en-US" w:eastAsia="zh-CN"/>
              </w:rPr>
            </w:pPr>
            <w:r>
              <w:rPr>
                <w:rFonts w:hint="eastAsia" w:ascii="方正仿宋_GBK" w:hAnsi="方正仿宋_GBK" w:eastAsia="方正仿宋_GBK" w:cs="方正仿宋_GBK"/>
                <w:b/>
                <w:bCs/>
                <w:color w:val="000000"/>
                <w:spacing w:val="0"/>
                <w:w w:val="100"/>
                <w:position w:val="0"/>
                <w:sz w:val="21"/>
                <w:szCs w:val="21"/>
                <w:lang w:val="en-US" w:eastAsia="zh-CN"/>
              </w:rPr>
              <w:t>安全要求</w:t>
            </w:r>
          </w:p>
        </w:tc>
        <w:tc>
          <w:tcPr>
            <w:tcW w:w="2890" w:type="dxa"/>
            <w:vAlign w:val="center"/>
          </w:tcPr>
          <w:p w14:paraId="2B57C74D">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51.出入口应采用向外开启的平开门或电动感应平移门，不选用旋转门；窗台高度≥0.9米（外窗台安装防人身坠落设施）；室内公共通道的墙（柱）面阳角应采用切角或圆弧处理，或安装成品护角；通道内不应设置裸放的散热器，以及种植带有尖刺和硬枝条的盆栽；易于人体接触的热水明管应有安全防护措施。走廊、楼梯、卫生室、卫生间符合适老化要求。</w:t>
            </w:r>
          </w:p>
        </w:tc>
        <w:tc>
          <w:tcPr>
            <w:tcW w:w="2780" w:type="dxa"/>
            <w:vAlign w:val="center"/>
          </w:tcPr>
          <w:p w14:paraId="75D103FD">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出入口应采用向外开启的平开门或电动感应平移门，不选用旋转门；窗台高度≥0.9米（外窗台安装防人身坠落设施）；室内公共通道的墙（柱）面阳角应采用切角或圆弧处理，或安装成品护角；通道内不应设置裸放的散热器，以及种植带有尖刺和硬枝条的盆栽；易于人体接触的热水明管应有安全防护措施。走廊、楼梯、卫生室、卫生间符合适老化要求。</w:t>
            </w:r>
          </w:p>
        </w:tc>
        <w:tc>
          <w:tcPr>
            <w:tcW w:w="2890" w:type="dxa"/>
            <w:vAlign w:val="center"/>
          </w:tcPr>
          <w:p w14:paraId="1A81BD10">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出入口应采用向外开启的平开门或电动感应平移门，不选用旋转门；窗台高度≥0.9米（外窗台安装防人身坠落设施）；室内公共通道的墙（柱）面阳角应采用切角或圆弧处理，或安装成品护角。走廊、楼梯、卫生室、卫生间符合适老化要求。</w:t>
            </w:r>
          </w:p>
        </w:tc>
        <w:tc>
          <w:tcPr>
            <w:tcW w:w="2700" w:type="dxa"/>
            <w:vAlign w:val="center"/>
          </w:tcPr>
          <w:p w14:paraId="7570BECE">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出入口应采用向外开启的平开门，窗台高度≥0.9米（外窗台安装防人身坠落设施）；室内公共通道的墙（柱）面阳角应采用切角或圆弧处理，或安装成品护角。走廊、楼梯、卫生间符合适老化要求。</w:t>
            </w:r>
          </w:p>
        </w:tc>
      </w:tr>
      <w:tr w14:paraId="1A63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4" w:hRule="atLeast"/>
        </w:trPr>
        <w:tc>
          <w:tcPr>
            <w:tcW w:w="840" w:type="dxa"/>
            <w:vMerge w:val="continue"/>
          </w:tcPr>
          <w:p w14:paraId="300CC45F">
            <w:pPr>
              <w:numPr>
                <w:ilvl w:val="0"/>
                <w:numId w:val="0"/>
              </w:numPr>
              <w:rPr>
                <w:rFonts w:hint="default" w:ascii="方正仿宋_GBK" w:hAnsi="方正仿宋_GBK" w:eastAsia="方正仿宋_GBK" w:cs="方正仿宋_GBK"/>
                <w:sz w:val="30"/>
                <w:szCs w:val="30"/>
                <w:vertAlign w:val="baseline"/>
                <w:lang w:val="en-US" w:eastAsia="zh-CN"/>
              </w:rPr>
            </w:pPr>
          </w:p>
        </w:tc>
        <w:tc>
          <w:tcPr>
            <w:tcW w:w="950" w:type="dxa"/>
            <w:vMerge w:val="continue"/>
            <w:vAlign w:val="top"/>
          </w:tcPr>
          <w:p w14:paraId="5AD8857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2130" w:type="dxa"/>
            <w:vMerge w:val="continue"/>
          </w:tcPr>
          <w:p w14:paraId="5ABEC89C">
            <w:pPr>
              <w:numPr>
                <w:ilvl w:val="0"/>
                <w:numId w:val="0"/>
              </w:numPr>
              <w:rPr>
                <w:rFonts w:hint="default" w:ascii="方正仿宋_GBK" w:hAnsi="方正仿宋_GBK" w:eastAsia="方正仿宋_GBK" w:cs="方正仿宋_GBK"/>
                <w:sz w:val="21"/>
                <w:szCs w:val="21"/>
                <w:vertAlign w:val="baseline"/>
                <w:lang w:val="en-US" w:eastAsia="zh-CN"/>
              </w:rPr>
            </w:pPr>
          </w:p>
        </w:tc>
        <w:tc>
          <w:tcPr>
            <w:tcW w:w="800" w:type="dxa"/>
            <w:vAlign w:val="center"/>
          </w:tcPr>
          <w:p w14:paraId="632DE596">
            <w:pPr>
              <w:numPr>
                <w:ilvl w:val="0"/>
                <w:numId w:val="0"/>
              </w:numPr>
              <w:jc w:val="center"/>
              <w:rPr>
                <w:rFonts w:hint="eastAsia" w:ascii="方正仿宋_GBK" w:hAnsi="方正仿宋_GBK" w:eastAsia="方正仿宋_GBK" w:cs="方正仿宋_GBK"/>
                <w:b/>
                <w:bCs/>
                <w:color w:val="000000"/>
                <w:spacing w:val="0"/>
                <w:w w:val="100"/>
                <w:position w:val="0"/>
                <w:sz w:val="21"/>
                <w:szCs w:val="21"/>
                <w:lang w:val="en-US" w:eastAsia="zh-CN"/>
              </w:rPr>
            </w:pPr>
            <w:r>
              <w:rPr>
                <w:rFonts w:hint="eastAsia" w:ascii="方正仿宋_GBK" w:hAnsi="方正仿宋_GBK" w:eastAsia="方正仿宋_GBK" w:cs="方正仿宋_GBK"/>
                <w:b/>
                <w:bCs/>
                <w:color w:val="000000"/>
                <w:spacing w:val="0"/>
                <w:w w:val="100"/>
                <w:position w:val="0"/>
                <w:sz w:val="21"/>
                <w:szCs w:val="21"/>
                <w:lang w:val="en-US" w:eastAsia="zh-CN"/>
              </w:rPr>
              <w:t>智能化</w:t>
            </w:r>
          </w:p>
          <w:p w14:paraId="1DD9AA12">
            <w:pPr>
              <w:numPr>
                <w:ilvl w:val="0"/>
                <w:numId w:val="0"/>
              </w:numPr>
              <w:jc w:val="center"/>
              <w:rPr>
                <w:rFonts w:hint="default" w:ascii="方正仿宋_GBK" w:hAnsi="方正仿宋_GBK" w:eastAsia="方正仿宋_GBK" w:cs="方正仿宋_GBK"/>
                <w:b/>
                <w:bCs/>
                <w:color w:val="000000"/>
                <w:spacing w:val="0"/>
                <w:w w:val="100"/>
                <w:position w:val="0"/>
                <w:sz w:val="21"/>
                <w:szCs w:val="21"/>
                <w:lang w:val="en-US" w:eastAsia="zh-CN"/>
              </w:rPr>
            </w:pPr>
            <w:r>
              <w:rPr>
                <w:rFonts w:hint="eastAsia" w:ascii="方正仿宋_GBK" w:hAnsi="方正仿宋_GBK" w:eastAsia="方正仿宋_GBK" w:cs="方正仿宋_GBK"/>
                <w:b/>
                <w:bCs/>
                <w:color w:val="000000"/>
                <w:spacing w:val="0"/>
                <w:w w:val="100"/>
                <w:position w:val="0"/>
                <w:sz w:val="21"/>
                <w:szCs w:val="21"/>
                <w:lang w:val="en-US" w:eastAsia="zh-CN"/>
              </w:rPr>
              <w:t>要求</w:t>
            </w:r>
          </w:p>
        </w:tc>
        <w:tc>
          <w:tcPr>
            <w:tcW w:w="2890" w:type="dxa"/>
            <w:vAlign w:val="center"/>
          </w:tcPr>
          <w:p w14:paraId="0B5D55D0">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52.校园网络全覆盖，100M带宽到桌面。具有课程摄录、点播功能，以满足老年人网上学习的需求。课程设置介绍、学员注册、教学管理实现网络化。校园周界须建设有报警及视频监控等系统。</w:t>
            </w:r>
          </w:p>
        </w:tc>
        <w:tc>
          <w:tcPr>
            <w:tcW w:w="2780" w:type="dxa"/>
            <w:vAlign w:val="center"/>
          </w:tcPr>
          <w:p w14:paraId="40351128">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校园网络全覆盖，100M带宽到桌面。具有课程摄录、点播功能，以满足老年人网上学习的需求。课程设置介绍、学员注册、教学管理实现网络化。校园周界须有报警及视频监控等系统。</w:t>
            </w:r>
          </w:p>
        </w:tc>
        <w:tc>
          <w:tcPr>
            <w:tcW w:w="2890" w:type="dxa"/>
            <w:vAlign w:val="center"/>
          </w:tcPr>
          <w:p w14:paraId="41DB3181">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校园网络全覆盖，100M带宽到桌面。具有课程摄录、点播功能，以满足老年人网上学习的需求。课程设置介绍、学员注册、教学管理实现网络化。校园周界须有报警及视频监控等系统。</w:t>
            </w:r>
          </w:p>
        </w:tc>
        <w:tc>
          <w:tcPr>
            <w:tcW w:w="2700" w:type="dxa"/>
            <w:vAlign w:val="center"/>
          </w:tcPr>
          <w:p w14:paraId="508155F6">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校园网络全覆盖，能满足通过安徽老年远程教育网实现远程学习。</w:t>
            </w:r>
          </w:p>
        </w:tc>
      </w:tr>
      <w:tr w14:paraId="46F7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tcPr>
          <w:p w14:paraId="103ACE38">
            <w:pPr>
              <w:numPr>
                <w:ilvl w:val="0"/>
                <w:numId w:val="0"/>
              </w:numPr>
              <w:rPr>
                <w:rFonts w:hint="default" w:ascii="方正仿宋_GBK" w:hAnsi="方正仿宋_GBK" w:eastAsia="方正仿宋_GBK" w:cs="方正仿宋_GBK"/>
                <w:sz w:val="30"/>
                <w:szCs w:val="30"/>
                <w:vertAlign w:val="baseline"/>
                <w:lang w:val="en-US" w:eastAsia="zh-CN"/>
              </w:rPr>
            </w:pPr>
          </w:p>
        </w:tc>
        <w:tc>
          <w:tcPr>
            <w:tcW w:w="950" w:type="dxa"/>
            <w:vMerge w:val="restart"/>
            <w:vAlign w:val="center"/>
          </w:tcPr>
          <w:p w14:paraId="158C4A5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color w:val="000000"/>
                <w:spacing w:val="0"/>
                <w:w w:val="100"/>
                <w:position w:val="0"/>
                <w:sz w:val="24"/>
                <w:szCs w:val="24"/>
                <w:lang w:eastAsia="zh-CN"/>
              </w:rPr>
            </w:pPr>
            <w:r>
              <w:rPr>
                <w:rFonts w:hint="eastAsia" w:ascii="方正仿宋_GBK" w:hAnsi="方正仿宋_GBK" w:eastAsia="方正仿宋_GBK" w:cs="方正仿宋_GBK"/>
                <w:b/>
                <w:bCs/>
                <w:color w:val="000000"/>
                <w:spacing w:val="0"/>
                <w:w w:val="100"/>
                <w:position w:val="0"/>
                <w:sz w:val="24"/>
                <w:szCs w:val="24"/>
                <w:lang w:eastAsia="zh-CN"/>
              </w:rPr>
              <w:t>建设</w:t>
            </w:r>
          </w:p>
          <w:p w14:paraId="5BFB8F9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000000"/>
                <w:spacing w:val="0"/>
                <w:w w:val="100"/>
                <w:position w:val="0"/>
                <w:sz w:val="24"/>
                <w:szCs w:val="24"/>
                <w:lang w:eastAsia="zh-CN"/>
              </w:rPr>
              <w:t>条件</w:t>
            </w:r>
          </w:p>
        </w:tc>
        <w:tc>
          <w:tcPr>
            <w:tcW w:w="2130" w:type="dxa"/>
            <w:vMerge w:val="restart"/>
            <w:vAlign w:val="center"/>
          </w:tcPr>
          <w:p w14:paraId="55B101AD">
            <w:pPr>
              <w:numPr>
                <w:ilvl w:val="0"/>
                <w:numId w:val="0"/>
              </w:numPr>
              <w:jc w:val="center"/>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有独立的办学场所，市政配套设施较为完善，环境质量良好，校园、教室、活动场所、医务室等办学场所建设面积和建筑质量符合文件要求。</w:t>
            </w:r>
          </w:p>
        </w:tc>
        <w:tc>
          <w:tcPr>
            <w:tcW w:w="800" w:type="dxa"/>
            <w:vAlign w:val="center"/>
          </w:tcPr>
          <w:p w14:paraId="5C8F00E1">
            <w:pPr>
              <w:numPr>
                <w:ilvl w:val="0"/>
                <w:numId w:val="0"/>
              </w:numPr>
              <w:jc w:val="center"/>
              <w:rPr>
                <w:rFonts w:hint="default" w:ascii="方正仿宋_GBK" w:hAnsi="方正仿宋_GBK" w:eastAsia="方正仿宋_GBK" w:cs="方正仿宋_GBK"/>
                <w:b/>
                <w:bCs/>
                <w:color w:val="000000"/>
                <w:spacing w:val="0"/>
                <w:w w:val="100"/>
                <w:position w:val="0"/>
                <w:sz w:val="21"/>
                <w:szCs w:val="21"/>
                <w:lang w:val="en-US" w:eastAsia="zh-CN"/>
              </w:rPr>
            </w:pPr>
            <w:r>
              <w:rPr>
                <w:rFonts w:hint="eastAsia" w:ascii="方正仿宋_GBK" w:hAnsi="方正仿宋_GBK" w:eastAsia="方正仿宋_GBK" w:cs="方正仿宋_GBK"/>
                <w:b/>
                <w:bCs/>
                <w:color w:val="000000"/>
                <w:spacing w:val="0"/>
                <w:w w:val="100"/>
                <w:position w:val="0"/>
                <w:sz w:val="21"/>
                <w:szCs w:val="21"/>
                <w:lang w:val="en-US" w:eastAsia="zh-CN"/>
              </w:rPr>
              <w:t>选址布局</w:t>
            </w:r>
          </w:p>
        </w:tc>
        <w:tc>
          <w:tcPr>
            <w:tcW w:w="2890" w:type="dxa"/>
            <w:vAlign w:val="center"/>
          </w:tcPr>
          <w:p w14:paraId="15C5DEBD">
            <w:pPr>
              <w:numPr>
                <w:ilvl w:val="0"/>
                <w:numId w:val="0"/>
              </w:numPr>
              <w:jc w:val="both"/>
              <w:rPr>
                <w:rFonts w:hint="default" w:ascii="方正仿宋_GBK" w:hAnsi="方正仿宋_GBK" w:cs="方正仿宋_GBK" w:eastAsiaTheme="minorEastAsia"/>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53.有独立的固定办学场所，建设布局体系化，教学功能综合化。</w:t>
            </w:r>
          </w:p>
        </w:tc>
        <w:tc>
          <w:tcPr>
            <w:tcW w:w="2780" w:type="dxa"/>
            <w:vAlign w:val="center"/>
          </w:tcPr>
          <w:p w14:paraId="7402175D">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有独立的固定办学场所，选址合理，建设布局均衡，教学功能完善。</w:t>
            </w:r>
          </w:p>
        </w:tc>
        <w:tc>
          <w:tcPr>
            <w:tcW w:w="2890" w:type="dxa"/>
            <w:vAlign w:val="center"/>
          </w:tcPr>
          <w:p w14:paraId="51281D18">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有相对独立的固定办学场所，建设布局比较均衡，教学功能基本完善。</w:t>
            </w:r>
          </w:p>
        </w:tc>
        <w:tc>
          <w:tcPr>
            <w:tcW w:w="2700" w:type="dxa"/>
            <w:vAlign w:val="center"/>
          </w:tcPr>
          <w:p w14:paraId="04591805">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办学场所相对固定并有相应的室外活动场所。</w:t>
            </w:r>
          </w:p>
        </w:tc>
      </w:tr>
      <w:tr w14:paraId="0E9AC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840" w:type="dxa"/>
            <w:vMerge w:val="continue"/>
          </w:tcPr>
          <w:p w14:paraId="1264181C">
            <w:pPr>
              <w:numPr>
                <w:ilvl w:val="0"/>
                <w:numId w:val="0"/>
              </w:numPr>
              <w:rPr>
                <w:rFonts w:hint="default" w:ascii="方正仿宋_GBK" w:hAnsi="方正仿宋_GBK" w:eastAsia="方正仿宋_GBK" w:cs="方正仿宋_GBK"/>
                <w:sz w:val="30"/>
                <w:szCs w:val="30"/>
                <w:vertAlign w:val="baseline"/>
                <w:lang w:val="en-US" w:eastAsia="zh-CN"/>
              </w:rPr>
            </w:pPr>
          </w:p>
        </w:tc>
        <w:tc>
          <w:tcPr>
            <w:tcW w:w="950" w:type="dxa"/>
            <w:vMerge w:val="continue"/>
            <w:vAlign w:val="top"/>
          </w:tcPr>
          <w:p w14:paraId="3A228DCC">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2130" w:type="dxa"/>
            <w:vMerge w:val="continue"/>
          </w:tcPr>
          <w:p w14:paraId="24154730">
            <w:pPr>
              <w:numPr>
                <w:ilvl w:val="0"/>
                <w:numId w:val="0"/>
              </w:numPr>
              <w:rPr>
                <w:rFonts w:hint="default" w:ascii="方正仿宋_GBK" w:hAnsi="方正仿宋_GBK" w:eastAsia="方正仿宋_GBK" w:cs="方正仿宋_GBK"/>
                <w:sz w:val="21"/>
                <w:szCs w:val="21"/>
                <w:vertAlign w:val="baseline"/>
                <w:lang w:val="en-US" w:eastAsia="zh-CN"/>
              </w:rPr>
            </w:pPr>
          </w:p>
        </w:tc>
        <w:tc>
          <w:tcPr>
            <w:tcW w:w="800" w:type="dxa"/>
            <w:vAlign w:val="center"/>
          </w:tcPr>
          <w:p w14:paraId="45AE5A5D">
            <w:pPr>
              <w:numPr>
                <w:ilvl w:val="0"/>
                <w:numId w:val="0"/>
              </w:numPr>
              <w:jc w:val="center"/>
              <w:rPr>
                <w:rFonts w:hint="default" w:ascii="方正仿宋_GBK" w:hAnsi="方正仿宋_GBK" w:eastAsia="方正仿宋_GBK" w:cs="方正仿宋_GBK"/>
                <w:b/>
                <w:bCs/>
                <w:color w:val="000000"/>
                <w:spacing w:val="0"/>
                <w:w w:val="100"/>
                <w:position w:val="0"/>
                <w:sz w:val="21"/>
                <w:szCs w:val="21"/>
                <w:lang w:val="en-US" w:eastAsia="zh-CN"/>
              </w:rPr>
            </w:pPr>
            <w:r>
              <w:rPr>
                <w:rFonts w:hint="eastAsia" w:ascii="方正仿宋_GBK" w:hAnsi="方正仿宋_GBK" w:eastAsia="方正仿宋_GBK" w:cs="方正仿宋_GBK"/>
                <w:b/>
                <w:bCs/>
                <w:color w:val="000000"/>
                <w:spacing w:val="0"/>
                <w:w w:val="100"/>
                <w:position w:val="0"/>
                <w:sz w:val="21"/>
                <w:szCs w:val="21"/>
                <w:lang w:val="en-US" w:eastAsia="zh-CN"/>
              </w:rPr>
              <w:t>市政配套</w:t>
            </w:r>
          </w:p>
        </w:tc>
        <w:tc>
          <w:tcPr>
            <w:tcW w:w="2890" w:type="dxa"/>
            <w:vAlign w:val="center"/>
          </w:tcPr>
          <w:p w14:paraId="78DB5998">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54.学校附近有多条公交或地铁线路，出行便利；3公里半径内有运动、医疗等基础设施。室外活动场地平整防滑、排水畅通。</w:t>
            </w:r>
          </w:p>
        </w:tc>
        <w:tc>
          <w:tcPr>
            <w:tcW w:w="2780" w:type="dxa"/>
            <w:vAlign w:val="center"/>
          </w:tcPr>
          <w:p w14:paraId="33BE6F26">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学校附近有多条公交线路，出行便利；3公里半径内有运动、医疗等基础设施。室外活动场地平整防滑、排水畅通。</w:t>
            </w:r>
          </w:p>
        </w:tc>
        <w:tc>
          <w:tcPr>
            <w:tcW w:w="2890" w:type="dxa"/>
            <w:vAlign w:val="center"/>
          </w:tcPr>
          <w:p w14:paraId="262009BE">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学校附近有公交线路，出行便利；5公里半径内有运动、医疗等基础设施。室外活动场地平整防滑、排水畅通。</w:t>
            </w:r>
          </w:p>
        </w:tc>
        <w:tc>
          <w:tcPr>
            <w:tcW w:w="2700" w:type="dxa"/>
            <w:vAlign w:val="center"/>
          </w:tcPr>
          <w:p w14:paraId="6E197681">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学校出行方便，附近有运动、医疗等基础设施。</w:t>
            </w:r>
          </w:p>
        </w:tc>
      </w:tr>
      <w:tr w14:paraId="4A07A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840" w:type="dxa"/>
            <w:vMerge w:val="continue"/>
          </w:tcPr>
          <w:p w14:paraId="77C1AA80">
            <w:pPr>
              <w:numPr>
                <w:ilvl w:val="0"/>
                <w:numId w:val="0"/>
              </w:numPr>
              <w:rPr>
                <w:rFonts w:hint="default" w:ascii="方正仿宋_GBK" w:hAnsi="方正仿宋_GBK" w:eastAsia="方正仿宋_GBK" w:cs="方正仿宋_GBK"/>
                <w:sz w:val="30"/>
                <w:szCs w:val="30"/>
                <w:vertAlign w:val="baseline"/>
                <w:lang w:val="en-US" w:eastAsia="zh-CN"/>
              </w:rPr>
            </w:pPr>
          </w:p>
        </w:tc>
        <w:tc>
          <w:tcPr>
            <w:tcW w:w="950" w:type="dxa"/>
            <w:vMerge w:val="continue"/>
            <w:vAlign w:val="top"/>
          </w:tcPr>
          <w:p w14:paraId="4ADD507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2130" w:type="dxa"/>
            <w:vMerge w:val="continue"/>
          </w:tcPr>
          <w:p w14:paraId="2D2B031A">
            <w:pPr>
              <w:numPr>
                <w:ilvl w:val="0"/>
                <w:numId w:val="0"/>
              </w:numPr>
              <w:rPr>
                <w:rFonts w:hint="default" w:ascii="方正仿宋_GBK" w:hAnsi="方正仿宋_GBK" w:eastAsia="方正仿宋_GBK" w:cs="方正仿宋_GBK"/>
                <w:sz w:val="21"/>
                <w:szCs w:val="21"/>
                <w:vertAlign w:val="baseline"/>
                <w:lang w:val="en-US" w:eastAsia="zh-CN"/>
              </w:rPr>
            </w:pPr>
          </w:p>
        </w:tc>
        <w:tc>
          <w:tcPr>
            <w:tcW w:w="800" w:type="dxa"/>
            <w:vAlign w:val="center"/>
          </w:tcPr>
          <w:p w14:paraId="44928C3C">
            <w:pPr>
              <w:numPr>
                <w:ilvl w:val="0"/>
                <w:numId w:val="0"/>
              </w:numPr>
              <w:jc w:val="center"/>
              <w:rPr>
                <w:rFonts w:hint="default" w:ascii="方正仿宋_GBK" w:hAnsi="方正仿宋_GBK" w:eastAsia="方正仿宋_GBK" w:cs="方正仿宋_GBK"/>
                <w:b/>
                <w:bCs/>
                <w:color w:val="000000"/>
                <w:spacing w:val="0"/>
                <w:w w:val="100"/>
                <w:position w:val="0"/>
                <w:sz w:val="21"/>
                <w:szCs w:val="21"/>
                <w:lang w:val="en-US" w:eastAsia="zh-CN"/>
              </w:rPr>
            </w:pPr>
            <w:r>
              <w:rPr>
                <w:rFonts w:hint="eastAsia" w:ascii="方正仿宋_GBK" w:hAnsi="方正仿宋_GBK" w:eastAsia="方正仿宋_GBK" w:cs="方正仿宋_GBK"/>
                <w:b/>
                <w:bCs/>
                <w:color w:val="000000"/>
                <w:spacing w:val="0"/>
                <w:w w:val="100"/>
                <w:position w:val="0"/>
                <w:sz w:val="21"/>
                <w:szCs w:val="21"/>
                <w:lang w:val="en-US" w:eastAsia="zh-CN"/>
              </w:rPr>
              <w:t>周边环境</w:t>
            </w:r>
          </w:p>
        </w:tc>
        <w:tc>
          <w:tcPr>
            <w:tcW w:w="2890" w:type="dxa"/>
            <w:vAlign w:val="center"/>
          </w:tcPr>
          <w:p w14:paraId="19175DF5">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55.校舍环境优美，远离各种污染源，通风与采光条件良好，采取有效的隔音措施。</w:t>
            </w:r>
          </w:p>
        </w:tc>
        <w:tc>
          <w:tcPr>
            <w:tcW w:w="2780" w:type="dxa"/>
            <w:vAlign w:val="center"/>
          </w:tcPr>
          <w:p w14:paraId="130768EA">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校舍远离各种污染源，通风与采光条件良好，采取有效的隔音措施。</w:t>
            </w:r>
          </w:p>
        </w:tc>
        <w:tc>
          <w:tcPr>
            <w:tcW w:w="2890" w:type="dxa"/>
            <w:vAlign w:val="center"/>
          </w:tcPr>
          <w:p w14:paraId="03E85544">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校舍远离各种污染源，通风与采光条件良好，采取有效的隔音措施。</w:t>
            </w:r>
          </w:p>
        </w:tc>
        <w:tc>
          <w:tcPr>
            <w:tcW w:w="2700" w:type="dxa"/>
            <w:vAlign w:val="center"/>
          </w:tcPr>
          <w:p w14:paraId="06CB474B">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校舍周边没有污染源和噪音源。</w:t>
            </w:r>
          </w:p>
        </w:tc>
      </w:tr>
      <w:tr w14:paraId="1940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tcPr>
          <w:p w14:paraId="0886FB78">
            <w:pPr>
              <w:numPr>
                <w:ilvl w:val="0"/>
                <w:numId w:val="0"/>
              </w:numPr>
              <w:rPr>
                <w:rFonts w:hint="default" w:ascii="方正仿宋_GBK" w:hAnsi="方正仿宋_GBK" w:eastAsia="方正仿宋_GBK" w:cs="方正仿宋_GBK"/>
                <w:sz w:val="30"/>
                <w:szCs w:val="30"/>
                <w:vertAlign w:val="baseline"/>
                <w:lang w:val="en-US" w:eastAsia="zh-CN"/>
              </w:rPr>
            </w:pPr>
          </w:p>
        </w:tc>
        <w:tc>
          <w:tcPr>
            <w:tcW w:w="950" w:type="dxa"/>
            <w:vMerge w:val="restart"/>
            <w:vAlign w:val="center"/>
          </w:tcPr>
          <w:p w14:paraId="383EBED9">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color w:val="000000"/>
                <w:spacing w:val="0"/>
                <w:w w:val="100"/>
                <w:position w:val="0"/>
                <w:sz w:val="24"/>
                <w:szCs w:val="24"/>
                <w:lang w:eastAsia="zh-CN"/>
              </w:rPr>
            </w:pPr>
            <w:r>
              <w:rPr>
                <w:rFonts w:hint="eastAsia" w:ascii="方正仿宋_GBK" w:hAnsi="方正仿宋_GBK" w:eastAsia="方正仿宋_GBK" w:cs="方正仿宋_GBK"/>
                <w:b/>
                <w:bCs/>
                <w:color w:val="000000"/>
                <w:spacing w:val="0"/>
                <w:w w:val="100"/>
                <w:position w:val="0"/>
                <w:sz w:val="24"/>
                <w:szCs w:val="24"/>
                <w:lang w:eastAsia="zh-CN"/>
              </w:rPr>
              <w:t>设备</w:t>
            </w:r>
          </w:p>
          <w:p w14:paraId="2D9E0349">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000000"/>
                <w:spacing w:val="0"/>
                <w:w w:val="100"/>
                <w:position w:val="0"/>
                <w:sz w:val="24"/>
                <w:szCs w:val="24"/>
                <w:lang w:eastAsia="zh-CN"/>
              </w:rPr>
              <w:t>设施</w:t>
            </w:r>
          </w:p>
        </w:tc>
        <w:tc>
          <w:tcPr>
            <w:tcW w:w="2130" w:type="dxa"/>
            <w:vMerge w:val="restart"/>
            <w:vAlign w:val="center"/>
          </w:tcPr>
          <w:p w14:paraId="0EB2EDF0">
            <w:pPr>
              <w:numPr>
                <w:ilvl w:val="0"/>
                <w:numId w:val="0"/>
              </w:numPr>
              <w:ind w:leftChars="0"/>
              <w:jc w:val="both"/>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有适应现代教学和办公需要的设备及图书期刊报刊资源，教学、行政生活等日常使用设施符合老年人体工程学特点。</w:t>
            </w:r>
          </w:p>
        </w:tc>
        <w:tc>
          <w:tcPr>
            <w:tcW w:w="800" w:type="dxa"/>
          </w:tcPr>
          <w:p w14:paraId="404BEE6E">
            <w:pPr>
              <w:numPr>
                <w:ilvl w:val="0"/>
                <w:numId w:val="0"/>
              </w:numPr>
              <w:jc w:val="center"/>
              <w:rPr>
                <w:rFonts w:hint="eastAsia" w:ascii="方正仿宋_GBK" w:hAnsi="方正仿宋_GBK" w:eastAsia="方正仿宋_GBK" w:cs="方正仿宋_GBK"/>
                <w:b/>
                <w:bCs/>
                <w:color w:val="000000"/>
                <w:spacing w:val="0"/>
                <w:w w:val="100"/>
                <w:position w:val="0"/>
                <w:sz w:val="21"/>
                <w:szCs w:val="21"/>
                <w:lang w:val="en-US" w:eastAsia="zh-CN"/>
              </w:rPr>
            </w:pPr>
            <w:r>
              <w:rPr>
                <w:rFonts w:hint="eastAsia" w:ascii="方正仿宋_GBK" w:hAnsi="方正仿宋_GBK" w:eastAsia="方正仿宋_GBK" w:cs="方正仿宋_GBK"/>
                <w:b/>
                <w:bCs/>
                <w:color w:val="000000"/>
                <w:spacing w:val="0"/>
                <w:w w:val="100"/>
                <w:position w:val="0"/>
                <w:sz w:val="21"/>
                <w:szCs w:val="21"/>
                <w:lang w:val="en-US" w:eastAsia="zh-CN"/>
              </w:rPr>
              <w:t>现代化</w:t>
            </w:r>
          </w:p>
          <w:p w14:paraId="7C89A56E">
            <w:pPr>
              <w:numPr>
                <w:ilvl w:val="0"/>
                <w:numId w:val="0"/>
              </w:numPr>
              <w:jc w:val="center"/>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b/>
                <w:bCs/>
                <w:color w:val="000000"/>
                <w:spacing w:val="0"/>
                <w:w w:val="100"/>
                <w:position w:val="0"/>
                <w:sz w:val="21"/>
                <w:szCs w:val="21"/>
                <w:lang w:val="en-US" w:eastAsia="zh-CN"/>
              </w:rPr>
              <w:t>教学</w:t>
            </w:r>
          </w:p>
        </w:tc>
        <w:tc>
          <w:tcPr>
            <w:tcW w:w="2890" w:type="dxa"/>
            <w:vAlign w:val="center"/>
          </w:tcPr>
          <w:p w14:paraId="5D77548A">
            <w:pPr>
              <w:numPr>
                <w:ilvl w:val="0"/>
                <w:numId w:val="0"/>
              </w:numPr>
              <w:ind w:leftChars="0"/>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56.有适应现代教学和办公需要的设备，有专业的录播教室。多媒体教室≥5间。</w:t>
            </w:r>
          </w:p>
        </w:tc>
        <w:tc>
          <w:tcPr>
            <w:tcW w:w="2780" w:type="dxa"/>
            <w:vAlign w:val="center"/>
          </w:tcPr>
          <w:p w14:paraId="0507ABAB">
            <w:pPr>
              <w:numPr>
                <w:ilvl w:val="0"/>
                <w:numId w:val="0"/>
              </w:numPr>
              <w:ind w:leftChars="0"/>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有适应现代教学和办公需要的设备，有录播教室。多媒体教室≥3间。</w:t>
            </w:r>
          </w:p>
        </w:tc>
        <w:tc>
          <w:tcPr>
            <w:tcW w:w="2890" w:type="dxa"/>
            <w:vAlign w:val="center"/>
          </w:tcPr>
          <w:p w14:paraId="165D9131">
            <w:pPr>
              <w:numPr>
                <w:ilvl w:val="0"/>
                <w:numId w:val="0"/>
              </w:numPr>
              <w:ind w:leftChars="0"/>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有适应现代教学和办公需要的设备，有录播教室。多媒体教室≥2间。</w:t>
            </w:r>
          </w:p>
        </w:tc>
        <w:tc>
          <w:tcPr>
            <w:tcW w:w="2700" w:type="dxa"/>
            <w:vAlign w:val="center"/>
          </w:tcPr>
          <w:p w14:paraId="112BBC71">
            <w:pPr>
              <w:numPr>
                <w:ilvl w:val="0"/>
                <w:numId w:val="0"/>
              </w:numPr>
              <w:ind w:leftChars="0"/>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有多媒体教室（可与文化站等一室多用）。</w:t>
            </w:r>
          </w:p>
        </w:tc>
      </w:tr>
      <w:tr w14:paraId="686A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840" w:type="dxa"/>
            <w:vMerge w:val="continue"/>
          </w:tcPr>
          <w:p w14:paraId="6A02A3BF">
            <w:pPr>
              <w:numPr>
                <w:ilvl w:val="0"/>
                <w:numId w:val="0"/>
              </w:numPr>
              <w:rPr>
                <w:rFonts w:hint="default" w:ascii="方正仿宋_GBK" w:hAnsi="方正仿宋_GBK" w:eastAsia="方正仿宋_GBK" w:cs="方正仿宋_GBK"/>
                <w:sz w:val="30"/>
                <w:szCs w:val="30"/>
                <w:vertAlign w:val="baseline"/>
                <w:lang w:val="en-US" w:eastAsia="zh-CN"/>
              </w:rPr>
            </w:pPr>
          </w:p>
        </w:tc>
        <w:tc>
          <w:tcPr>
            <w:tcW w:w="950" w:type="dxa"/>
            <w:vMerge w:val="continue"/>
            <w:vAlign w:val="top"/>
          </w:tcPr>
          <w:p w14:paraId="55C06DA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2130" w:type="dxa"/>
            <w:vMerge w:val="continue"/>
          </w:tcPr>
          <w:p w14:paraId="028A2F81">
            <w:pPr>
              <w:numPr>
                <w:ilvl w:val="0"/>
                <w:numId w:val="0"/>
              </w:numPr>
              <w:rPr>
                <w:rFonts w:hint="default" w:ascii="方正仿宋_GBK" w:hAnsi="方正仿宋_GBK" w:eastAsia="方正仿宋_GBK" w:cs="方正仿宋_GBK"/>
                <w:sz w:val="21"/>
                <w:szCs w:val="21"/>
                <w:vertAlign w:val="baseline"/>
                <w:lang w:val="en-US" w:eastAsia="zh-CN"/>
              </w:rPr>
            </w:pPr>
          </w:p>
        </w:tc>
        <w:tc>
          <w:tcPr>
            <w:tcW w:w="800" w:type="dxa"/>
            <w:vAlign w:val="center"/>
          </w:tcPr>
          <w:p w14:paraId="208ADBF1">
            <w:pPr>
              <w:numPr>
                <w:ilvl w:val="0"/>
                <w:numId w:val="0"/>
              </w:numPr>
              <w:jc w:val="center"/>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b/>
                <w:bCs/>
                <w:color w:val="000000"/>
                <w:spacing w:val="0"/>
                <w:w w:val="100"/>
                <w:position w:val="0"/>
                <w:sz w:val="21"/>
                <w:szCs w:val="21"/>
                <w:lang w:val="en-US" w:eastAsia="zh-CN"/>
              </w:rPr>
              <w:t>文化宣传</w:t>
            </w:r>
          </w:p>
        </w:tc>
        <w:tc>
          <w:tcPr>
            <w:tcW w:w="2890" w:type="dxa"/>
            <w:vAlign w:val="center"/>
          </w:tcPr>
          <w:p w14:paraId="007022A8">
            <w:pPr>
              <w:numPr>
                <w:ilvl w:val="0"/>
                <w:numId w:val="0"/>
              </w:numPr>
              <w:ind w:leftChars="0"/>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57.有专人负责宣传。校内广播系统、校园文化长廊基础建设较完备，相关器具设备较齐全。有校史陈列管、学员作品展示厅、图书阅览室，有橱窗宣传栏。</w:t>
            </w:r>
          </w:p>
        </w:tc>
        <w:tc>
          <w:tcPr>
            <w:tcW w:w="2780" w:type="dxa"/>
            <w:vAlign w:val="center"/>
          </w:tcPr>
          <w:p w14:paraId="43F85BD8">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校内广播系统、校园文化长廊基础建设较完备，相关器具设备较齐全。有专人负责宣传。有校史陈列管、学员作品展示厅、有图书阅览室，有橱窗宣传栏。</w:t>
            </w:r>
          </w:p>
        </w:tc>
        <w:tc>
          <w:tcPr>
            <w:tcW w:w="2890" w:type="dxa"/>
            <w:vAlign w:val="center"/>
          </w:tcPr>
          <w:p w14:paraId="74383F8B">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有专人负责宣传。校内广播系统、校园文化长廊基础建设较完备，相关器具设备较齐全。有校史陈列管、学员作品展示厅、有图书阅览室，有橱窗宣传栏。</w:t>
            </w:r>
          </w:p>
        </w:tc>
        <w:tc>
          <w:tcPr>
            <w:tcW w:w="2700" w:type="dxa"/>
            <w:vAlign w:val="center"/>
          </w:tcPr>
          <w:p w14:paraId="2EE26C66">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有专人负责宣传，有橱窗宣传栏。</w:t>
            </w:r>
          </w:p>
        </w:tc>
      </w:tr>
      <w:tr w14:paraId="3265A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840" w:type="dxa"/>
            <w:vMerge w:val="continue"/>
          </w:tcPr>
          <w:p w14:paraId="6CF68299">
            <w:pPr>
              <w:numPr>
                <w:ilvl w:val="0"/>
                <w:numId w:val="0"/>
              </w:numPr>
              <w:rPr>
                <w:rFonts w:hint="default" w:ascii="方正仿宋_GBK" w:hAnsi="方正仿宋_GBK" w:eastAsia="方正仿宋_GBK" w:cs="方正仿宋_GBK"/>
                <w:sz w:val="30"/>
                <w:szCs w:val="30"/>
                <w:vertAlign w:val="baseline"/>
                <w:lang w:val="en-US" w:eastAsia="zh-CN"/>
              </w:rPr>
            </w:pPr>
          </w:p>
        </w:tc>
        <w:tc>
          <w:tcPr>
            <w:tcW w:w="950" w:type="dxa"/>
            <w:vMerge w:val="continue"/>
            <w:vAlign w:val="top"/>
          </w:tcPr>
          <w:p w14:paraId="6811DB0F">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2130" w:type="dxa"/>
            <w:vMerge w:val="continue"/>
          </w:tcPr>
          <w:p w14:paraId="17BB662A">
            <w:pPr>
              <w:numPr>
                <w:ilvl w:val="0"/>
                <w:numId w:val="0"/>
              </w:numPr>
              <w:rPr>
                <w:rFonts w:hint="default" w:ascii="方正仿宋_GBK" w:hAnsi="方正仿宋_GBK" w:eastAsia="方正仿宋_GBK" w:cs="方正仿宋_GBK"/>
                <w:sz w:val="21"/>
                <w:szCs w:val="21"/>
                <w:vertAlign w:val="baseline"/>
                <w:lang w:val="en-US" w:eastAsia="zh-CN"/>
              </w:rPr>
            </w:pPr>
          </w:p>
        </w:tc>
        <w:tc>
          <w:tcPr>
            <w:tcW w:w="800" w:type="dxa"/>
            <w:vAlign w:val="center"/>
          </w:tcPr>
          <w:p w14:paraId="67F80390">
            <w:pPr>
              <w:numPr>
                <w:ilvl w:val="0"/>
                <w:numId w:val="0"/>
              </w:numPr>
              <w:jc w:val="center"/>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b/>
                <w:bCs/>
                <w:color w:val="000000"/>
                <w:spacing w:val="0"/>
                <w:w w:val="100"/>
                <w:position w:val="0"/>
                <w:sz w:val="21"/>
                <w:szCs w:val="21"/>
                <w:lang w:val="en-US" w:eastAsia="zh-CN"/>
              </w:rPr>
              <w:t>教学配套</w:t>
            </w:r>
          </w:p>
        </w:tc>
        <w:tc>
          <w:tcPr>
            <w:tcW w:w="2890" w:type="dxa"/>
            <w:vAlign w:val="center"/>
          </w:tcPr>
          <w:p w14:paraId="15E02120">
            <w:pPr>
              <w:numPr>
                <w:ilvl w:val="0"/>
                <w:numId w:val="0"/>
              </w:numPr>
              <w:ind w:leftChars="0"/>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58.教学用具定期消毒，桌椅符合老年人体工程学特点，稳固坚实。各楼层安装符合老年学员生理特点的饮水设备。</w:t>
            </w:r>
          </w:p>
        </w:tc>
        <w:tc>
          <w:tcPr>
            <w:tcW w:w="2780" w:type="dxa"/>
            <w:vAlign w:val="center"/>
          </w:tcPr>
          <w:p w14:paraId="69DCA32E">
            <w:pPr>
              <w:numPr>
                <w:ilvl w:val="0"/>
                <w:numId w:val="0"/>
              </w:numPr>
              <w:ind w:leftChars="0"/>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教学用具定期消毒，桌椅符合老年人体工程学特点，稳固坚实。饮水设备符合老年学员生理特点。</w:t>
            </w:r>
          </w:p>
        </w:tc>
        <w:tc>
          <w:tcPr>
            <w:tcW w:w="2890" w:type="dxa"/>
            <w:vAlign w:val="center"/>
          </w:tcPr>
          <w:p w14:paraId="0769BE67">
            <w:pPr>
              <w:numPr>
                <w:ilvl w:val="0"/>
                <w:numId w:val="0"/>
              </w:numPr>
              <w:ind w:leftChars="0"/>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教学用具定期消毒，桌椅符合老年人体工程学特点，稳固坚实。饮水设备符合老年学员生理特点。</w:t>
            </w:r>
          </w:p>
        </w:tc>
        <w:tc>
          <w:tcPr>
            <w:tcW w:w="2700" w:type="dxa"/>
            <w:vAlign w:val="center"/>
          </w:tcPr>
          <w:p w14:paraId="31FC44B2">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教学桌椅稳固坚实。饮水设备符合老年学员生理特点。</w:t>
            </w:r>
          </w:p>
        </w:tc>
      </w:tr>
      <w:tr w14:paraId="5AA5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trPr>
        <w:tc>
          <w:tcPr>
            <w:tcW w:w="840" w:type="dxa"/>
            <w:vMerge w:val="continue"/>
          </w:tcPr>
          <w:p w14:paraId="00B594DF">
            <w:pPr>
              <w:numPr>
                <w:ilvl w:val="0"/>
                <w:numId w:val="0"/>
              </w:numPr>
              <w:rPr>
                <w:rFonts w:hint="default" w:ascii="方正仿宋_GBK" w:hAnsi="方正仿宋_GBK" w:eastAsia="方正仿宋_GBK" w:cs="方正仿宋_GBK"/>
                <w:sz w:val="30"/>
                <w:szCs w:val="30"/>
                <w:vertAlign w:val="baseline"/>
                <w:lang w:val="en-US" w:eastAsia="zh-CN"/>
              </w:rPr>
            </w:pPr>
          </w:p>
        </w:tc>
        <w:tc>
          <w:tcPr>
            <w:tcW w:w="950" w:type="dxa"/>
            <w:vMerge w:val="restart"/>
            <w:vAlign w:val="center"/>
          </w:tcPr>
          <w:p w14:paraId="54E47DEE">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color w:val="000000"/>
                <w:spacing w:val="0"/>
                <w:w w:val="100"/>
                <w:position w:val="0"/>
                <w:sz w:val="24"/>
                <w:szCs w:val="24"/>
                <w:lang w:eastAsia="zh-CN"/>
              </w:rPr>
            </w:pPr>
            <w:r>
              <w:rPr>
                <w:rFonts w:hint="eastAsia" w:ascii="方正仿宋_GBK" w:hAnsi="方正仿宋_GBK" w:eastAsia="方正仿宋_GBK" w:cs="方正仿宋_GBK"/>
                <w:b/>
                <w:bCs/>
                <w:color w:val="000000"/>
                <w:spacing w:val="0"/>
                <w:w w:val="100"/>
                <w:position w:val="0"/>
                <w:sz w:val="24"/>
                <w:szCs w:val="24"/>
                <w:lang w:eastAsia="zh-CN"/>
              </w:rPr>
              <w:t>应急</w:t>
            </w:r>
          </w:p>
          <w:p w14:paraId="700AEB3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000000"/>
                <w:spacing w:val="0"/>
                <w:w w:val="100"/>
                <w:position w:val="0"/>
                <w:sz w:val="24"/>
                <w:szCs w:val="24"/>
                <w:lang w:eastAsia="zh-CN"/>
              </w:rPr>
              <w:t>设施</w:t>
            </w:r>
          </w:p>
        </w:tc>
        <w:tc>
          <w:tcPr>
            <w:tcW w:w="2130" w:type="dxa"/>
            <w:vMerge w:val="restart"/>
            <w:vAlign w:val="center"/>
          </w:tcPr>
          <w:p w14:paraId="6EC05D82">
            <w:pPr>
              <w:numPr>
                <w:ilvl w:val="0"/>
                <w:numId w:val="0"/>
              </w:numPr>
              <w:ind w:leftChars="0"/>
              <w:jc w:val="both"/>
              <w:rPr>
                <w:rFonts w:hint="default"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消防等应急设备符合相关部门要求，防疫措施常态规范严格，有完备的突发事件应急处理机制。</w:t>
            </w:r>
          </w:p>
        </w:tc>
        <w:tc>
          <w:tcPr>
            <w:tcW w:w="800" w:type="dxa"/>
            <w:vAlign w:val="center"/>
          </w:tcPr>
          <w:p w14:paraId="6652D97A">
            <w:pPr>
              <w:numPr>
                <w:ilvl w:val="0"/>
                <w:numId w:val="0"/>
              </w:numPr>
              <w:jc w:val="center"/>
              <w:rPr>
                <w:rFonts w:hint="default" w:ascii="方正仿宋_GBK" w:hAnsi="方正仿宋_GBK" w:eastAsia="方正仿宋_GBK" w:cs="方正仿宋_GBK"/>
                <w:b/>
                <w:bCs/>
                <w:color w:val="000000"/>
                <w:spacing w:val="0"/>
                <w:w w:val="100"/>
                <w:position w:val="0"/>
                <w:sz w:val="21"/>
                <w:szCs w:val="21"/>
                <w:lang w:val="en-US" w:eastAsia="zh-CN"/>
              </w:rPr>
            </w:pPr>
            <w:r>
              <w:rPr>
                <w:rFonts w:hint="eastAsia" w:ascii="方正仿宋_GBK" w:hAnsi="方正仿宋_GBK" w:eastAsia="方正仿宋_GBK" w:cs="方正仿宋_GBK"/>
                <w:b/>
                <w:bCs/>
                <w:color w:val="000000"/>
                <w:spacing w:val="0"/>
                <w:w w:val="100"/>
                <w:position w:val="0"/>
                <w:sz w:val="21"/>
                <w:szCs w:val="21"/>
                <w:lang w:val="en-US" w:eastAsia="zh-CN"/>
              </w:rPr>
              <w:t>消防措施</w:t>
            </w:r>
          </w:p>
        </w:tc>
        <w:tc>
          <w:tcPr>
            <w:tcW w:w="2890" w:type="dxa"/>
            <w:vAlign w:val="center"/>
          </w:tcPr>
          <w:p w14:paraId="71CE6A22">
            <w:pPr>
              <w:numPr>
                <w:ilvl w:val="0"/>
                <w:numId w:val="0"/>
              </w:numPr>
              <w:ind w:leftChars="0"/>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59.教学场所内装有烟雾报警装置和自动喷淋灭火系统，符合消防相关规定。总平面内的道路实行人车分流，除满足消防、疏散、运输等要求外，还应保证救护车辆通畅到达所需停靠的建筑物出入口。</w:t>
            </w:r>
          </w:p>
        </w:tc>
        <w:tc>
          <w:tcPr>
            <w:tcW w:w="2780" w:type="dxa"/>
            <w:vAlign w:val="center"/>
          </w:tcPr>
          <w:p w14:paraId="162E1334">
            <w:pPr>
              <w:numPr>
                <w:ilvl w:val="0"/>
                <w:numId w:val="0"/>
              </w:numPr>
              <w:ind w:leftChars="0"/>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教学场所内应装有烟雾报警装置和自动喷淋灭火系统，符合消防相关规定。总平面内的道路实行人车分流，除满足消防、疏散、运输等要求外，还应保证救护车辆通畅到达所需停靠的建筑物出入口</w:t>
            </w:r>
          </w:p>
        </w:tc>
        <w:tc>
          <w:tcPr>
            <w:tcW w:w="2890" w:type="dxa"/>
            <w:vAlign w:val="center"/>
          </w:tcPr>
          <w:p w14:paraId="18B925A4">
            <w:pPr>
              <w:numPr>
                <w:ilvl w:val="0"/>
                <w:numId w:val="0"/>
              </w:numPr>
              <w:ind w:leftChars="0"/>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教学场所内应装有烟雾报警装置和自动喷淋灭火系统，符合消防相关规定。总平面内的道路实行人车分流，除满足消防、疏散、运输等要求外，还应保证救护车辆通畅到达所需停靠的建筑物出入口</w:t>
            </w:r>
          </w:p>
        </w:tc>
        <w:tc>
          <w:tcPr>
            <w:tcW w:w="2700" w:type="dxa"/>
            <w:vAlign w:val="center"/>
          </w:tcPr>
          <w:p w14:paraId="7BF9DB5B">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消防、急救设施符合有关要求。</w:t>
            </w:r>
          </w:p>
        </w:tc>
      </w:tr>
      <w:tr w14:paraId="2AF71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840" w:type="dxa"/>
            <w:vMerge w:val="continue"/>
          </w:tcPr>
          <w:p w14:paraId="0E0E6904">
            <w:pPr>
              <w:numPr>
                <w:ilvl w:val="0"/>
                <w:numId w:val="0"/>
              </w:numPr>
              <w:rPr>
                <w:rFonts w:hint="default" w:ascii="方正仿宋_GBK" w:hAnsi="方正仿宋_GBK" w:eastAsia="方正仿宋_GBK" w:cs="方正仿宋_GBK"/>
                <w:sz w:val="30"/>
                <w:szCs w:val="30"/>
                <w:vertAlign w:val="baseline"/>
                <w:lang w:val="en-US" w:eastAsia="zh-CN"/>
              </w:rPr>
            </w:pPr>
          </w:p>
        </w:tc>
        <w:tc>
          <w:tcPr>
            <w:tcW w:w="950" w:type="dxa"/>
            <w:vMerge w:val="continue"/>
            <w:vAlign w:val="top"/>
          </w:tcPr>
          <w:p w14:paraId="73A3334D">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2130" w:type="dxa"/>
            <w:vMerge w:val="continue"/>
          </w:tcPr>
          <w:p w14:paraId="4887F910">
            <w:pPr>
              <w:numPr>
                <w:ilvl w:val="0"/>
                <w:numId w:val="0"/>
              </w:numPr>
              <w:rPr>
                <w:rFonts w:hint="eastAsia" w:ascii="方正仿宋_GBK" w:hAnsi="方正仿宋_GBK" w:eastAsia="方正仿宋_GBK" w:cs="方正仿宋_GBK"/>
                <w:color w:val="000000"/>
                <w:spacing w:val="0"/>
                <w:w w:val="100"/>
                <w:position w:val="0"/>
                <w:sz w:val="21"/>
                <w:szCs w:val="21"/>
                <w:lang w:val="en-US" w:eastAsia="zh-CN"/>
              </w:rPr>
            </w:pPr>
          </w:p>
        </w:tc>
        <w:tc>
          <w:tcPr>
            <w:tcW w:w="800" w:type="dxa"/>
            <w:vAlign w:val="center"/>
          </w:tcPr>
          <w:p w14:paraId="4C39D3E3">
            <w:pPr>
              <w:numPr>
                <w:ilvl w:val="0"/>
                <w:numId w:val="0"/>
              </w:numPr>
              <w:jc w:val="center"/>
              <w:rPr>
                <w:rFonts w:hint="eastAsia" w:ascii="方正仿宋_GBK" w:hAnsi="方正仿宋_GBK" w:eastAsia="方正仿宋_GBK" w:cs="方正仿宋_GBK"/>
                <w:b/>
                <w:bCs/>
                <w:color w:val="000000"/>
                <w:spacing w:val="0"/>
                <w:w w:val="100"/>
                <w:position w:val="0"/>
                <w:sz w:val="21"/>
                <w:szCs w:val="21"/>
                <w:lang w:val="en-US" w:eastAsia="zh-CN"/>
              </w:rPr>
            </w:pPr>
            <w:r>
              <w:rPr>
                <w:rFonts w:hint="eastAsia" w:ascii="方正仿宋_GBK" w:hAnsi="方正仿宋_GBK" w:eastAsia="方正仿宋_GBK" w:cs="方正仿宋_GBK"/>
                <w:b/>
                <w:bCs/>
                <w:color w:val="000000"/>
                <w:spacing w:val="0"/>
                <w:w w:val="100"/>
                <w:position w:val="0"/>
                <w:sz w:val="21"/>
                <w:szCs w:val="21"/>
                <w:lang w:val="en-US" w:eastAsia="zh-CN"/>
              </w:rPr>
              <w:t>卫生防疫</w:t>
            </w:r>
          </w:p>
        </w:tc>
        <w:tc>
          <w:tcPr>
            <w:tcW w:w="2890" w:type="dxa"/>
            <w:vAlign w:val="center"/>
          </w:tcPr>
          <w:p w14:paraId="561CC433">
            <w:pPr>
              <w:numPr>
                <w:ilvl w:val="0"/>
                <w:numId w:val="0"/>
              </w:numPr>
              <w:ind w:leftChars="0"/>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60.配备温度检测仪器、消杀设备，制定相关卫生防疫制度和措施，定期有专人对重点区域开展卫生消毒工作。制定有公共卫生安全预案。</w:t>
            </w:r>
          </w:p>
        </w:tc>
        <w:tc>
          <w:tcPr>
            <w:tcW w:w="2780" w:type="dxa"/>
            <w:vAlign w:val="center"/>
          </w:tcPr>
          <w:p w14:paraId="201811DB">
            <w:pPr>
              <w:numPr>
                <w:ilvl w:val="0"/>
                <w:numId w:val="0"/>
              </w:numPr>
              <w:ind w:leftChars="0"/>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配备温度检测仪器、消杀设备，制定相关卫生防疫制度和措施，定期有专人对重点区域开展卫生消毒工作。制定有公共卫生安全预案。</w:t>
            </w:r>
          </w:p>
        </w:tc>
        <w:tc>
          <w:tcPr>
            <w:tcW w:w="2890" w:type="dxa"/>
            <w:vAlign w:val="center"/>
          </w:tcPr>
          <w:p w14:paraId="66AA1CF8">
            <w:pPr>
              <w:numPr>
                <w:ilvl w:val="0"/>
                <w:numId w:val="0"/>
              </w:numPr>
              <w:ind w:leftChars="0"/>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配备温度检测仪器、消杀设备，制定相关卫生防疫制度和措施，定期有专人对重点区域开展卫生消毒工作。制定有公共卫生安全预案。</w:t>
            </w:r>
          </w:p>
        </w:tc>
        <w:tc>
          <w:tcPr>
            <w:tcW w:w="2700" w:type="dxa"/>
            <w:vAlign w:val="center"/>
          </w:tcPr>
          <w:p w14:paraId="255F827B">
            <w:pPr>
              <w:numPr>
                <w:ilvl w:val="0"/>
                <w:numId w:val="0"/>
              </w:numPr>
              <w:ind w:leftChars="0"/>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制定相关卫生防疫制度和措施，有专人对重点区域开展卫生消毒工作。</w:t>
            </w:r>
          </w:p>
        </w:tc>
      </w:tr>
      <w:tr w14:paraId="2E9E2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840" w:type="dxa"/>
            <w:vMerge w:val="continue"/>
          </w:tcPr>
          <w:p w14:paraId="7EE5261C">
            <w:pPr>
              <w:numPr>
                <w:ilvl w:val="0"/>
                <w:numId w:val="0"/>
              </w:numPr>
              <w:rPr>
                <w:rFonts w:hint="default" w:ascii="方正仿宋_GBK" w:hAnsi="方正仿宋_GBK" w:eastAsia="方正仿宋_GBK" w:cs="方正仿宋_GBK"/>
                <w:sz w:val="30"/>
                <w:szCs w:val="30"/>
                <w:vertAlign w:val="baseline"/>
                <w:lang w:val="en-US" w:eastAsia="zh-CN"/>
              </w:rPr>
            </w:pPr>
          </w:p>
        </w:tc>
        <w:tc>
          <w:tcPr>
            <w:tcW w:w="950" w:type="dxa"/>
            <w:vMerge w:val="continue"/>
            <w:vAlign w:val="top"/>
          </w:tcPr>
          <w:p w14:paraId="0079C9D9">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2130" w:type="dxa"/>
            <w:vMerge w:val="continue"/>
          </w:tcPr>
          <w:p w14:paraId="4C1A2523">
            <w:pPr>
              <w:numPr>
                <w:ilvl w:val="0"/>
                <w:numId w:val="0"/>
              </w:numPr>
              <w:rPr>
                <w:rFonts w:hint="eastAsia" w:ascii="方正仿宋_GBK" w:hAnsi="方正仿宋_GBK" w:eastAsia="方正仿宋_GBK" w:cs="方正仿宋_GBK"/>
                <w:color w:val="000000"/>
                <w:spacing w:val="0"/>
                <w:w w:val="100"/>
                <w:position w:val="0"/>
                <w:sz w:val="21"/>
                <w:szCs w:val="21"/>
                <w:lang w:val="en-US" w:eastAsia="zh-CN"/>
              </w:rPr>
            </w:pPr>
          </w:p>
        </w:tc>
        <w:tc>
          <w:tcPr>
            <w:tcW w:w="800" w:type="dxa"/>
            <w:vAlign w:val="center"/>
          </w:tcPr>
          <w:p w14:paraId="48ABCFA1">
            <w:pPr>
              <w:numPr>
                <w:ilvl w:val="0"/>
                <w:numId w:val="0"/>
              </w:numPr>
              <w:jc w:val="center"/>
              <w:rPr>
                <w:rFonts w:hint="eastAsia" w:ascii="方正仿宋_GBK" w:hAnsi="方正仿宋_GBK" w:eastAsia="方正仿宋_GBK" w:cs="方正仿宋_GBK"/>
                <w:b/>
                <w:bCs/>
                <w:color w:val="000000"/>
                <w:spacing w:val="0"/>
                <w:w w:val="100"/>
                <w:position w:val="0"/>
                <w:sz w:val="21"/>
                <w:szCs w:val="21"/>
                <w:lang w:val="en-US" w:eastAsia="zh-CN"/>
              </w:rPr>
            </w:pPr>
            <w:r>
              <w:rPr>
                <w:rFonts w:hint="eastAsia" w:ascii="方正仿宋_GBK" w:hAnsi="方正仿宋_GBK" w:eastAsia="方正仿宋_GBK" w:cs="方正仿宋_GBK"/>
                <w:b/>
                <w:bCs/>
                <w:color w:val="000000"/>
                <w:spacing w:val="0"/>
                <w:w w:val="100"/>
                <w:position w:val="0"/>
                <w:sz w:val="21"/>
                <w:szCs w:val="21"/>
                <w:lang w:val="en-US" w:eastAsia="zh-CN"/>
              </w:rPr>
              <w:t>紧急措施</w:t>
            </w:r>
          </w:p>
        </w:tc>
        <w:tc>
          <w:tcPr>
            <w:tcW w:w="2890" w:type="dxa"/>
            <w:vAlign w:val="center"/>
          </w:tcPr>
          <w:p w14:paraId="1E1ACB76">
            <w:pPr>
              <w:numPr>
                <w:ilvl w:val="0"/>
                <w:numId w:val="0"/>
              </w:numPr>
              <w:ind w:leftChars="0"/>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61.电梯、卫生间等独立空间内装有紧急呼叫设施，并有专人负责管理。</w:t>
            </w:r>
          </w:p>
        </w:tc>
        <w:tc>
          <w:tcPr>
            <w:tcW w:w="2780" w:type="dxa"/>
            <w:vAlign w:val="center"/>
          </w:tcPr>
          <w:p w14:paraId="0A940D11">
            <w:pPr>
              <w:numPr>
                <w:ilvl w:val="0"/>
                <w:numId w:val="0"/>
              </w:numPr>
              <w:ind w:leftChars="0"/>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电梯、卫生间装等独立空间装有紧急呼叫设施，并有专人负责管理。</w:t>
            </w:r>
          </w:p>
        </w:tc>
        <w:tc>
          <w:tcPr>
            <w:tcW w:w="2890" w:type="dxa"/>
            <w:vAlign w:val="center"/>
          </w:tcPr>
          <w:p w14:paraId="07E9D2B0">
            <w:pPr>
              <w:numPr>
                <w:ilvl w:val="0"/>
                <w:numId w:val="0"/>
              </w:numPr>
              <w:ind w:leftChars="0"/>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电梯、卫生间装等独立空间装有紧急呼叫设施，并有专人负责管理。</w:t>
            </w:r>
          </w:p>
        </w:tc>
        <w:tc>
          <w:tcPr>
            <w:tcW w:w="2700" w:type="dxa"/>
            <w:shd w:val="clear" w:color="auto" w:fill="auto"/>
            <w:vAlign w:val="center"/>
          </w:tcPr>
          <w:p w14:paraId="46953729">
            <w:pPr>
              <w:numPr>
                <w:ilvl w:val="0"/>
                <w:numId w:val="0"/>
              </w:numPr>
              <w:ind w:leftChars="0"/>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卫生间等独立空间有紧急呼叫设施，并有专人负责管理。</w:t>
            </w:r>
          </w:p>
        </w:tc>
      </w:tr>
      <w:tr w14:paraId="553D5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tcPr>
          <w:p w14:paraId="3D6EC346">
            <w:pPr>
              <w:numPr>
                <w:ilvl w:val="0"/>
                <w:numId w:val="0"/>
              </w:numPr>
              <w:rPr>
                <w:rFonts w:hint="default" w:ascii="方正仿宋_GBK" w:hAnsi="方正仿宋_GBK" w:eastAsia="方正仿宋_GBK" w:cs="方正仿宋_GBK"/>
                <w:sz w:val="30"/>
                <w:szCs w:val="30"/>
                <w:vertAlign w:val="baseline"/>
                <w:lang w:val="en-US" w:eastAsia="zh-CN"/>
              </w:rPr>
            </w:pPr>
          </w:p>
        </w:tc>
        <w:tc>
          <w:tcPr>
            <w:tcW w:w="950" w:type="dxa"/>
            <w:vMerge w:val="restart"/>
            <w:vAlign w:val="center"/>
          </w:tcPr>
          <w:p w14:paraId="550A1BB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color w:val="000000"/>
                <w:spacing w:val="0"/>
                <w:w w:val="100"/>
                <w:position w:val="0"/>
                <w:sz w:val="24"/>
                <w:szCs w:val="24"/>
                <w:lang w:eastAsia="zh-CN"/>
              </w:rPr>
            </w:pPr>
            <w:r>
              <w:rPr>
                <w:rFonts w:hint="eastAsia" w:ascii="方正仿宋_GBK" w:hAnsi="方正仿宋_GBK" w:eastAsia="方正仿宋_GBK" w:cs="方正仿宋_GBK"/>
                <w:b/>
                <w:bCs/>
                <w:color w:val="000000"/>
                <w:spacing w:val="0"/>
                <w:w w:val="100"/>
                <w:position w:val="0"/>
                <w:sz w:val="24"/>
                <w:szCs w:val="24"/>
                <w:lang w:eastAsia="zh-CN"/>
              </w:rPr>
              <w:t>经费</w:t>
            </w:r>
          </w:p>
          <w:p w14:paraId="6D86743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000000"/>
                <w:spacing w:val="0"/>
                <w:w w:val="100"/>
                <w:position w:val="0"/>
                <w:sz w:val="24"/>
                <w:szCs w:val="24"/>
                <w:lang w:eastAsia="zh-CN"/>
              </w:rPr>
              <w:t>保障</w:t>
            </w:r>
          </w:p>
        </w:tc>
        <w:tc>
          <w:tcPr>
            <w:tcW w:w="2130" w:type="dxa"/>
            <w:vMerge w:val="restart"/>
            <w:vAlign w:val="center"/>
          </w:tcPr>
          <w:p w14:paraId="7C08D67B">
            <w:pPr>
              <w:keepNext w:val="0"/>
              <w:keepLines w:val="0"/>
              <w:widowControl/>
              <w:suppressLineNumbers w:val="0"/>
              <w:jc w:val="both"/>
            </w:pPr>
            <w:r>
              <w:rPr>
                <w:rFonts w:ascii="方正仿宋_GBK" w:hAnsi="方正仿宋_GBK" w:eastAsia="方正仿宋_GBK" w:cs="方正仿宋_GBK"/>
                <w:color w:val="000000"/>
                <w:kern w:val="0"/>
                <w:sz w:val="20"/>
                <w:szCs w:val="20"/>
                <w:lang w:val="en-US" w:eastAsia="zh-CN" w:bidi="ar"/>
              </w:rPr>
              <w:t>办学经费列入政府财</w:t>
            </w:r>
          </w:p>
          <w:p w14:paraId="617FA748">
            <w:pPr>
              <w:keepNext w:val="0"/>
              <w:keepLines w:val="0"/>
              <w:widowControl/>
              <w:suppressLineNumbers w:val="0"/>
              <w:jc w:val="both"/>
            </w:pPr>
            <w:r>
              <w:rPr>
                <w:rFonts w:hint="eastAsia" w:ascii="方正仿宋_GBK" w:hAnsi="方正仿宋_GBK" w:eastAsia="方正仿宋_GBK" w:cs="方正仿宋_GBK"/>
                <w:color w:val="000000"/>
                <w:kern w:val="0"/>
                <w:sz w:val="20"/>
                <w:szCs w:val="20"/>
                <w:lang w:val="en-US" w:eastAsia="zh-CN" w:bidi="ar"/>
              </w:rPr>
              <w:t>政预算，实行按学员</w:t>
            </w:r>
          </w:p>
          <w:p w14:paraId="19FE7EDC">
            <w:pPr>
              <w:keepNext w:val="0"/>
              <w:keepLines w:val="0"/>
              <w:widowControl/>
              <w:suppressLineNumbers w:val="0"/>
              <w:jc w:val="both"/>
            </w:pPr>
            <w:r>
              <w:rPr>
                <w:rFonts w:hint="eastAsia" w:ascii="方正仿宋_GBK" w:hAnsi="方正仿宋_GBK" w:eastAsia="方正仿宋_GBK" w:cs="方正仿宋_GBK"/>
                <w:color w:val="000000"/>
                <w:kern w:val="0"/>
                <w:sz w:val="20"/>
                <w:szCs w:val="20"/>
                <w:lang w:val="en-US" w:eastAsia="zh-CN" w:bidi="ar"/>
              </w:rPr>
              <w:t>人数经费配套管理制</w:t>
            </w:r>
          </w:p>
          <w:p w14:paraId="149A4FC7">
            <w:pPr>
              <w:keepNext w:val="0"/>
              <w:keepLines w:val="0"/>
              <w:widowControl/>
              <w:suppressLineNumbers w:val="0"/>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kern w:val="0"/>
                <w:sz w:val="20"/>
                <w:szCs w:val="20"/>
                <w:lang w:val="en-US" w:eastAsia="zh-CN" w:bidi="ar"/>
              </w:rPr>
              <w:t>度，专款专用。</w:t>
            </w:r>
          </w:p>
        </w:tc>
        <w:tc>
          <w:tcPr>
            <w:tcW w:w="800" w:type="dxa"/>
            <w:vAlign w:val="center"/>
          </w:tcPr>
          <w:p w14:paraId="0FAA10BC">
            <w:pPr>
              <w:numPr>
                <w:ilvl w:val="0"/>
                <w:numId w:val="0"/>
              </w:numPr>
              <w:jc w:val="center"/>
              <w:rPr>
                <w:rFonts w:hint="eastAsia" w:ascii="方正仿宋_GBK" w:hAnsi="方正仿宋_GBK" w:eastAsia="方正仿宋_GBK" w:cs="方正仿宋_GBK"/>
                <w:b/>
                <w:bCs/>
                <w:color w:val="000000"/>
                <w:spacing w:val="0"/>
                <w:w w:val="100"/>
                <w:position w:val="0"/>
                <w:sz w:val="21"/>
                <w:szCs w:val="21"/>
                <w:lang w:val="en-US" w:eastAsia="zh-CN"/>
              </w:rPr>
            </w:pPr>
            <w:r>
              <w:rPr>
                <w:rFonts w:hint="eastAsia" w:ascii="方正仿宋_GBK" w:hAnsi="方正仿宋_GBK" w:eastAsia="方正仿宋_GBK" w:cs="方正仿宋_GBK"/>
                <w:b/>
                <w:bCs/>
                <w:color w:val="000000"/>
                <w:spacing w:val="0"/>
                <w:w w:val="100"/>
                <w:position w:val="0"/>
                <w:sz w:val="21"/>
                <w:szCs w:val="21"/>
                <w:lang w:eastAsia="zh-CN"/>
              </w:rPr>
              <w:t>经费来源</w:t>
            </w:r>
          </w:p>
        </w:tc>
        <w:tc>
          <w:tcPr>
            <w:tcW w:w="2890" w:type="dxa"/>
            <w:vAlign w:val="center"/>
          </w:tcPr>
          <w:p w14:paraId="7BC03224">
            <w:pPr>
              <w:numPr>
                <w:ilvl w:val="0"/>
                <w:numId w:val="0"/>
              </w:numPr>
              <w:ind w:leftChars="0"/>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62.办学经费列入政府财政预算，并随当地经济社会和老年教育事业发展逐年增加。校舍维修、设备添置、重大活动实行专项拨款。有学费收入。</w:t>
            </w:r>
          </w:p>
        </w:tc>
        <w:tc>
          <w:tcPr>
            <w:tcW w:w="2780" w:type="dxa"/>
            <w:vAlign w:val="center"/>
          </w:tcPr>
          <w:p w14:paraId="32531112">
            <w:pPr>
              <w:numPr>
                <w:ilvl w:val="0"/>
                <w:numId w:val="0"/>
              </w:numPr>
              <w:ind w:leftChars="0"/>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办学经费列入政府财政预算，并随当地经济社会和老年教育事业发展逐年增加。校舍维修、设备添置、重大活动实行专项拨款。有学费收入。</w:t>
            </w:r>
          </w:p>
        </w:tc>
        <w:tc>
          <w:tcPr>
            <w:tcW w:w="2890" w:type="dxa"/>
            <w:vAlign w:val="center"/>
          </w:tcPr>
          <w:p w14:paraId="0652BFDD">
            <w:pPr>
              <w:numPr>
                <w:ilvl w:val="0"/>
                <w:numId w:val="0"/>
              </w:numPr>
              <w:ind w:leftChars="0"/>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办学经费列入政府财政预算，并随当地经济社会和老年教育事业发展逐年增加。校舍维修、设备添置、重大活动实行专项拨款。有学费收入。</w:t>
            </w:r>
          </w:p>
        </w:tc>
        <w:tc>
          <w:tcPr>
            <w:tcW w:w="2700" w:type="dxa"/>
            <w:vAlign w:val="center"/>
          </w:tcPr>
          <w:p w14:paraId="6D79E763">
            <w:pPr>
              <w:numPr>
                <w:ilvl w:val="0"/>
                <w:numId w:val="0"/>
              </w:numPr>
              <w:ind w:leftChars="0"/>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办学经费列入政府财政预算，并随当地经济社会和老年教育事业发展逐年增加。</w:t>
            </w:r>
          </w:p>
        </w:tc>
      </w:tr>
      <w:tr w14:paraId="2498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40" w:type="dxa"/>
            <w:vMerge w:val="continue"/>
          </w:tcPr>
          <w:p w14:paraId="5C6D48C8">
            <w:pPr>
              <w:numPr>
                <w:ilvl w:val="0"/>
                <w:numId w:val="0"/>
              </w:numPr>
              <w:rPr>
                <w:rFonts w:hint="default" w:ascii="方正仿宋_GBK" w:hAnsi="方正仿宋_GBK" w:eastAsia="方正仿宋_GBK" w:cs="方正仿宋_GBK"/>
                <w:sz w:val="30"/>
                <w:szCs w:val="30"/>
                <w:vertAlign w:val="baseline"/>
                <w:lang w:val="en-US" w:eastAsia="zh-CN"/>
              </w:rPr>
            </w:pPr>
          </w:p>
        </w:tc>
        <w:tc>
          <w:tcPr>
            <w:tcW w:w="950" w:type="dxa"/>
            <w:vMerge w:val="continue"/>
            <w:vAlign w:val="top"/>
          </w:tcPr>
          <w:p w14:paraId="50B605C4">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sz w:val="24"/>
                <w:szCs w:val="24"/>
                <w:vertAlign w:val="baseline"/>
                <w:lang w:val="en-US" w:eastAsia="zh-CN"/>
              </w:rPr>
            </w:pPr>
          </w:p>
        </w:tc>
        <w:tc>
          <w:tcPr>
            <w:tcW w:w="2130" w:type="dxa"/>
            <w:vMerge w:val="continue"/>
          </w:tcPr>
          <w:p w14:paraId="755CBC3C">
            <w:pPr>
              <w:numPr>
                <w:ilvl w:val="0"/>
                <w:numId w:val="0"/>
              </w:numPr>
              <w:rPr>
                <w:rFonts w:hint="eastAsia" w:ascii="方正仿宋_GBK" w:hAnsi="方正仿宋_GBK" w:eastAsia="方正仿宋_GBK" w:cs="方正仿宋_GBK"/>
                <w:color w:val="000000"/>
                <w:spacing w:val="0"/>
                <w:w w:val="100"/>
                <w:position w:val="0"/>
                <w:sz w:val="21"/>
                <w:szCs w:val="21"/>
                <w:lang w:val="en-US" w:eastAsia="zh-CN"/>
              </w:rPr>
            </w:pPr>
          </w:p>
        </w:tc>
        <w:tc>
          <w:tcPr>
            <w:tcW w:w="800" w:type="dxa"/>
            <w:vAlign w:val="center"/>
          </w:tcPr>
          <w:p w14:paraId="0987BC86">
            <w:pPr>
              <w:numPr>
                <w:ilvl w:val="0"/>
                <w:numId w:val="0"/>
              </w:numPr>
              <w:jc w:val="center"/>
              <w:rPr>
                <w:rFonts w:hint="eastAsia" w:ascii="方正仿宋_GBK" w:hAnsi="方正仿宋_GBK" w:eastAsia="方正仿宋_GBK" w:cs="方正仿宋_GBK"/>
                <w:b/>
                <w:bCs/>
                <w:color w:val="000000"/>
                <w:spacing w:val="0"/>
                <w:w w:val="100"/>
                <w:position w:val="0"/>
                <w:sz w:val="21"/>
                <w:szCs w:val="21"/>
                <w:lang w:val="en-US" w:eastAsia="zh-CN"/>
              </w:rPr>
            </w:pPr>
            <w:r>
              <w:rPr>
                <w:rFonts w:hint="eastAsia" w:ascii="方正仿宋_GBK" w:hAnsi="方正仿宋_GBK" w:eastAsia="方正仿宋_GBK" w:cs="方正仿宋_GBK"/>
                <w:b/>
                <w:bCs/>
                <w:color w:val="000000"/>
                <w:spacing w:val="0"/>
                <w:w w:val="100"/>
                <w:position w:val="0"/>
                <w:sz w:val="21"/>
                <w:szCs w:val="21"/>
                <w:lang w:eastAsia="zh-CN"/>
              </w:rPr>
              <w:t>经费标准</w:t>
            </w:r>
          </w:p>
        </w:tc>
        <w:tc>
          <w:tcPr>
            <w:tcW w:w="2890" w:type="dxa"/>
            <w:vAlign w:val="center"/>
          </w:tcPr>
          <w:p w14:paraId="2D94B15B">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63.结合在校学员数，生均拨款400元/年以上。</w:t>
            </w:r>
          </w:p>
        </w:tc>
        <w:tc>
          <w:tcPr>
            <w:tcW w:w="2780" w:type="dxa"/>
            <w:vAlign w:val="center"/>
          </w:tcPr>
          <w:p w14:paraId="6E8C39E0">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结合在校学员数，生均拨款不低于300元/年。</w:t>
            </w:r>
          </w:p>
        </w:tc>
        <w:tc>
          <w:tcPr>
            <w:tcW w:w="2890" w:type="dxa"/>
            <w:vAlign w:val="center"/>
          </w:tcPr>
          <w:p w14:paraId="572C267E">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结合在校学员数，生均拨款不低于200元/年。</w:t>
            </w:r>
          </w:p>
        </w:tc>
        <w:tc>
          <w:tcPr>
            <w:tcW w:w="2700" w:type="dxa"/>
            <w:vAlign w:val="center"/>
          </w:tcPr>
          <w:p w14:paraId="21A8E45E">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结合在校学员数，生均拨款200元/年。</w:t>
            </w:r>
          </w:p>
        </w:tc>
      </w:tr>
      <w:tr w14:paraId="499E0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trPr>
        <w:tc>
          <w:tcPr>
            <w:tcW w:w="840" w:type="dxa"/>
            <w:vMerge w:val="continue"/>
          </w:tcPr>
          <w:p w14:paraId="33769B64">
            <w:pPr>
              <w:numPr>
                <w:ilvl w:val="0"/>
                <w:numId w:val="0"/>
              </w:numPr>
              <w:rPr>
                <w:rFonts w:hint="default" w:ascii="方正仿宋_GBK" w:hAnsi="方正仿宋_GBK" w:eastAsia="方正仿宋_GBK" w:cs="方正仿宋_GBK"/>
                <w:sz w:val="30"/>
                <w:szCs w:val="30"/>
                <w:vertAlign w:val="baseline"/>
                <w:lang w:val="en-US" w:eastAsia="zh-CN"/>
              </w:rPr>
            </w:pPr>
          </w:p>
        </w:tc>
        <w:tc>
          <w:tcPr>
            <w:tcW w:w="950" w:type="dxa"/>
            <w:vMerge w:val="continue"/>
          </w:tcPr>
          <w:p w14:paraId="06DAD721">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default" w:ascii="方正仿宋_GBK" w:hAnsi="方正仿宋_GBK" w:eastAsia="方正仿宋_GBK" w:cs="方正仿宋_GBK"/>
                <w:sz w:val="24"/>
                <w:szCs w:val="24"/>
                <w:vertAlign w:val="baseline"/>
                <w:lang w:val="en-US" w:eastAsia="zh-CN"/>
              </w:rPr>
            </w:pPr>
          </w:p>
        </w:tc>
        <w:tc>
          <w:tcPr>
            <w:tcW w:w="2130" w:type="dxa"/>
            <w:vMerge w:val="continue"/>
          </w:tcPr>
          <w:p w14:paraId="2F8F2A94">
            <w:pPr>
              <w:numPr>
                <w:ilvl w:val="0"/>
                <w:numId w:val="0"/>
              </w:numPr>
              <w:rPr>
                <w:rFonts w:hint="eastAsia" w:ascii="方正仿宋_GBK" w:hAnsi="方正仿宋_GBK" w:eastAsia="方正仿宋_GBK" w:cs="方正仿宋_GBK"/>
                <w:color w:val="000000"/>
                <w:spacing w:val="0"/>
                <w:w w:val="100"/>
                <w:position w:val="0"/>
                <w:sz w:val="21"/>
                <w:szCs w:val="21"/>
                <w:lang w:val="en-US" w:eastAsia="zh-CN"/>
              </w:rPr>
            </w:pPr>
          </w:p>
        </w:tc>
        <w:tc>
          <w:tcPr>
            <w:tcW w:w="800" w:type="dxa"/>
            <w:vAlign w:val="center"/>
          </w:tcPr>
          <w:p w14:paraId="6901EB68">
            <w:pPr>
              <w:numPr>
                <w:ilvl w:val="0"/>
                <w:numId w:val="0"/>
              </w:numPr>
              <w:jc w:val="center"/>
              <w:rPr>
                <w:rFonts w:hint="eastAsia" w:ascii="方正仿宋_GBK" w:hAnsi="方正仿宋_GBK" w:eastAsia="方正仿宋_GBK" w:cs="方正仿宋_GBK"/>
                <w:b/>
                <w:bCs/>
                <w:color w:val="000000"/>
                <w:spacing w:val="0"/>
                <w:w w:val="100"/>
                <w:position w:val="0"/>
                <w:sz w:val="21"/>
                <w:szCs w:val="21"/>
                <w:lang w:val="en-US" w:eastAsia="zh-CN"/>
              </w:rPr>
            </w:pPr>
            <w:r>
              <w:rPr>
                <w:rFonts w:hint="eastAsia" w:ascii="方正仿宋_GBK" w:hAnsi="方正仿宋_GBK" w:eastAsia="方正仿宋_GBK" w:cs="方正仿宋_GBK"/>
                <w:b/>
                <w:bCs/>
                <w:color w:val="000000"/>
                <w:spacing w:val="0"/>
                <w:w w:val="100"/>
                <w:position w:val="0"/>
                <w:sz w:val="21"/>
                <w:szCs w:val="21"/>
                <w:lang w:eastAsia="zh-CN"/>
              </w:rPr>
              <w:t>经费使用</w:t>
            </w:r>
          </w:p>
        </w:tc>
        <w:tc>
          <w:tcPr>
            <w:tcW w:w="2890" w:type="dxa"/>
            <w:vAlign w:val="center"/>
          </w:tcPr>
          <w:p w14:paraId="443C4534">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64.学费收支两条线，实行严格管理；学术科研经费列入预算，达到相应标准要求；经费专款专用；常态化对经费管理使用情况开展专项检查。</w:t>
            </w:r>
          </w:p>
        </w:tc>
        <w:tc>
          <w:tcPr>
            <w:tcW w:w="2780" w:type="dxa"/>
            <w:vAlign w:val="center"/>
          </w:tcPr>
          <w:p w14:paraId="7C81DCE5">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学费收支两条线，实行严格管理；学术科研经费列入预算，达到相应标准要求；经费专款专用；常态化对经费管理使用情况开展专项检查。</w:t>
            </w:r>
          </w:p>
        </w:tc>
        <w:tc>
          <w:tcPr>
            <w:tcW w:w="2890" w:type="dxa"/>
            <w:vAlign w:val="center"/>
          </w:tcPr>
          <w:p w14:paraId="113BE531">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学费收支两条线，实行严格管理；学术科研经费列入预算，达到相应标准要求；经费专款专用；常态化对经费管理使用情况开展专项检查。</w:t>
            </w:r>
          </w:p>
        </w:tc>
        <w:tc>
          <w:tcPr>
            <w:tcW w:w="2700" w:type="dxa"/>
            <w:vAlign w:val="center"/>
          </w:tcPr>
          <w:p w14:paraId="24C0408E">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教学经费专款专用，每年进行专项检查。</w:t>
            </w:r>
          </w:p>
        </w:tc>
      </w:tr>
      <w:tr w14:paraId="34D0F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840" w:type="dxa"/>
            <w:vMerge w:val="restart"/>
            <w:vAlign w:val="center"/>
          </w:tcPr>
          <w:p w14:paraId="2E2F63D4">
            <w:pPr>
              <w:numPr>
                <w:ilvl w:val="0"/>
                <w:numId w:val="0"/>
              </w:numPr>
              <w:jc w:val="center"/>
              <w:rPr>
                <w:rFonts w:hint="default" w:ascii="方正仿宋_GBK" w:hAnsi="方正仿宋_GBK" w:eastAsia="方正仿宋_GBK" w:cs="方正仿宋_GBK"/>
                <w:b/>
                <w:bCs/>
                <w:sz w:val="30"/>
                <w:szCs w:val="30"/>
                <w:vertAlign w:val="baseline"/>
                <w:lang w:val="en-US" w:eastAsia="zh-CN"/>
              </w:rPr>
            </w:pPr>
            <w:r>
              <w:rPr>
                <w:rFonts w:hint="eastAsia" w:ascii="方正仿宋_GBK" w:hAnsi="方正仿宋_GBK" w:eastAsia="方正仿宋_GBK" w:cs="方正仿宋_GBK"/>
                <w:b/>
                <w:bCs/>
                <w:sz w:val="30"/>
                <w:szCs w:val="30"/>
                <w:vertAlign w:val="baseline"/>
                <w:lang w:val="en-US" w:eastAsia="zh-CN"/>
              </w:rPr>
              <w:t>七、学术科研</w:t>
            </w:r>
          </w:p>
        </w:tc>
        <w:tc>
          <w:tcPr>
            <w:tcW w:w="950" w:type="dxa"/>
            <w:vAlign w:val="center"/>
          </w:tcPr>
          <w:p w14:paraId="01EDF4A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color w:val="000000"/>
                <w:spacing w:val="0"/>
                <w:w w:val="100"/>
                <w:position w:val="0"/>
                <w:sz w:val="24"/>
                <w:szCs w:val="24"/>
                <w:lang w:val="en-US" w:eastAsia="zh-CN"/>
              </w:rPr>
            </w:pPr>
            <w:r>
              <w:rPr>
                <w:rFonts w:hint="eastAsia" w:ascii="方正仿宋_GBK" w:hAnsi="方正仿宋_GBK" w:eastAsia="方正仿宋_GBK" w:cs="方正仿宋_GBK"/>
                <w:b/>
                <w:bCs/>
                <w:color w:val="000000"/>
                <w:spacing w:val="0"/>
                <w:w w:val="100"/>
                <w:position w:val="0"/>
                <w:sz w:val="24"/>
                <w:szCs w:val="24"/>
                <w:lang w:val="en-US" w:eastAsia="zh-CN"/>
              </w:rPr>
              <w:t>学术</w:t>
            </w:r>
          </w:p>
          <w:p w14:paraId="3CC4E62C">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color w:val="000000"/>
                <w:spacing w:val="0"/>
                <w:w w:val="100"/>
                <w:position w:val="0"/>
                <w:sz w:val="24"/>
                <w:szCs w:val="24"/>
                <w:lang w:val="en-US" w:eastAsia="zh-CN"/>
              </w:rPr>
              <w:t>成果</w:t>
            </w:r>
          </w:p>
        </w:tc>
        <w:tc>
          <w:tcPr>
            <w:tcW w:w="2930" w:type="dxa"/>
            <w:gridSpan w:val="2"/>
            <w:vAlign w:val="center"/>
          </w:tcPr>
          <w:p w14:paraId="5492839E">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在专著、期刊、会议等领域有一定的科研成果产出，注重科研成果转化。</w:t>
            </w:r>
          </w:p>
        </w:tc>
        <w:tc>
          <w:tcPr>
            <w:tcW w:w="2890" w:type="dxa"/>
            <w:vAlign w:val="center"/>
          </w:tcPr>
          <w:p w14:paraId="59100CF2">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65.近三年出版专著1部。每年在专业期刊发表论文2篇以上（含2篇），全国性学术会议报告2次以上。</w:t>
            </w:r>
          </w:p>
        </w:tc>
        <w:tc>
          <w:tcPr>
            <w:tcW w:w="2780" w:type="dxa"/>
            <w:vAlign w:val="center"/>
          </w:tcPr>
          <w:p w14:paraId="2FD62FD2">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每年在专业期刊发表论文1至2篇，全国性学术会议报告1至2次。</w:t>
            </w:r>
          </w:p>
        </w:tc>
        <w:tc>
          <w:tcPr>
            <w:tcW w:w="2890" w:type="dxa"/>
            <w:vAlign w:val="center"/>
          </w:tcPr>
          <w:p w14:paraId="2F386928">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每年在专业期刊发表论文1至2篇，全省学术会议报告1次。</w:t>
            </w:r>
          </w:p>
        </w:tc>
        <w:tc>
          <w:tcPr>
            <w:tcW w:w="2700" w:type="dxa"/>
            <w:vAlign w:val="center"/>
          </w:tcPr>
          <w:p w14:paraId="53AA2192">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每年在专业期刊发表文章1篇。</w:t>
            </w:r>
          </w:p>
        </w:tc>
      </w:tr>
      <w:tr w14:paraId="186BE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40" w:type="dxa"/>
            <w:vMerge w:val="continue"/>
          </w:tcPr>
          <w:p w14:paraId="3F1301E5">
            <w:pPr>
              <w:numPr>
                <w:ilvl w:val="0"/>
                <w:numId w:val="0"/>
              </w:numPr>
              <w:rPr>
                <w:rFonts w:hint="eastAsia" w:ascii="方正仿宋_GBK" w:hAnsi="方正仿宋_GBK" w:eastAsia="方正仿宋_GBK" w:cs="方正仿宋_GBK"/>
                <w:sz w:val="30"/>
                <w:szCs w:val="30"/>
                <w:vertAlign w:val="baseline"/>
                <w:lang w:val="en-US" w:eastAsia="zh-CN"/>
              </w:rPr>
            </w:pPr>
          </w:p>
        </w:tc>
        <w:tc>
          <w:tcPr>
            <w:tcW w:w="950" w:type="dxa"/>
            <w:vAlign w:val="center"/>
          </w:tcPr>
          <w:p w14:paraId="0676BEDE">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color w:val="000000"/>
                <w:spacing w:val="0"/>
                <w:w w:val="100"/>
                <w:position w:val="0"/>
                <w:sz w:val="24"/>
                <w:szCs w:val="24"/>
                <w:lang w:val="en-US" w:eastAsia="zh-CN"/>
              </w:rPr>
            </w:pPr>
            <w:r>
              <w:rPr>
                <w:rFonts w:hint="eastAsia" w:ascii="方正仿宋_GBK" w:hAnsi="方正仿宋_GBK" w:eastAsia="方正仿宋_GBK" w:cs="方正仿宋_GBK"/>
                <w:b/>
                <w:bCs/>
                <w:color w:val="000000"/>
                <w:spacing w:val="0"/>
                <w:w w:val="100"/>
                <w:position w:val="0"/>
                <w:sz w:val="24"/>
                <w:szCs w:val="24"/>
                <w:lang w:val="en-US" w:eastAsia="zh-CN"/>
              </w:rPr>
              <w:t>学术</w:t>
            </w:r>
          </w:p>
          <w:p w14:paraId="15451F4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color w:val="000000"/>
                <w:spacing w:val="0"/>
                <w:w w:val="100"/>
                <w:position w:val="0"/>
                <w:sz w:val="24"/>
                <w:szCs w:val="24"/>
                <w:lang w:val="en-US" w:eastAsia="zh-CN"/>
              </w:rPr>
              <w:t>交流</w:t>
            </w:r>
          </w:p>
        </w:tc>
        <w:tc>
          <w:tcPr>
            <w:tcW w:w="2930" w:type="dxa"/>
            <w:gridSpan w:val="2"/>
            <w:vAlign w:val="center"/>
          </w:tcPr>
          <w:p w14:paraId="0952E7F1">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积极参加省内、国内学术会议。</w:t>
            </w:r>
          </w:p>
        </w:tc>
        <w:tc>
          <w:tcPr>
            <w:tcW w:w="2890" w:type="dxa"/>
            <w:shd w:val="clear" w:color="auto" w:fill="auto"/>
            <w:vAlign w:val="center"/>
          </w:tcPr>
          <w:p w14:paraId="4D91141F">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66.每年参加省内、国内会议3次以上（含3次）。</w:t>
            </w:r>
          </w:p>
        </w:tc>
        <w:tc>
          <w:tcPr>
            <w:tcW w:w="2780" w:type="dxa"/>
            <w:shd w:val="clear" w:color="auto" w:fill="auto"/>
            <w:vAlign w:val="center"/>
          </w:tcPr>
          <w:p w14:paraId="2C3C560D">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每年参加省内、国内会议2次以上（含2次）。</w:t>
            </w:r>
          </w:p>
        </w:tc>
        <w:tc>
          <w:tcPr>
            <w:tcW w:w="2890" w:type="dxa"/>
            <w:shd w:val="clear" w:color="auto" w:fill="auto"/>
            <w:vAlign w:val="center"/>
          </w:tcPr>
          <w:p w14:paraId="5490D186">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每年参加省内、国内会议1次以上（含1次）。</w:t>
            </w:r>
          </w:p>
        </w:tc>
        <w:tc>
          <w:tcPr>
            <w:tcW w:w="2700" w:type="dxa"/>
            <w:vAlign w:val="center"/>
          </w:tcPr>
          <w:p w14:paraId="7446A15D">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每年参加省内会议1次以上。</w:t>
            </w:r>
          </w:p>
        </w:tc>
      </w:tr>
      <w:tr w14:paraId="76DAA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tcPr>
          <w:p w14:paraId="6C6080F0">
            <w:pPr>
              <w:numPr>
                <w:ilvl w:val="0"/>
                <w:numId w:val="0"/>
              </w:numPr>
              <w:rPr>
                <w:rFonts w:hint="eastAsia" w:ascii="方正仿宋_GBK" w:hAnsi="方正仿宋_GBK" w:eastAsia="方正仿宋_GBK" w:cs="方正仿宋_GBK"/>
                <w:sz w:val="30"/>
                <w:szCs w:val="30"/>
                <w:vertAlign w:val="baseline"/>
                <w:lang w:val="en-US" w:eastAsia="zh-CN"/>
              </w:rPr>
            </w:pPr>
          </w:p>
        </w:tc>
        <w:tc>
          <w:tcPr>
            <w:tcW w:w="950" w:type="dxa"/>
            <w:vAlign w:val="center"/>
          </w:tcPr>
          <w:p w14:paraId="45C282B4">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color w:val="000000"/>
                <w:spacing w:val="0"/>
                <w:w w:val="100"/>
                <w:position w:val="0"/>
                <w:sz w:val="24"/>
                <w:szCs w:val="24"/>
                <w:lang w:val="en-US" w:eastAsia="zh-CN"/>
              </w:rPr>
            </w:pPr>
            <w:r>
              <w:rPr>
                <w:rFonts w:hint="eastAsia" w:ascii="方正仿宋_GBK" w:hAnsi="方正仿宋_GBK" w:eastAsia="方正仿宋_GBK" w:cs="方正仿宋_GBK"/>
                <w:b/>
                <w:bCs/>
                <w:color w:val="000000"/>
                <w:spacing w:val="0"/>
                <w:w w:val="100"/>
                <w:position w:val="0"/>
                <w:sz w:val="24"/>
                <w:szCs w:val="24"/>
                <w:lang w:val="en-US" w:eastAsia="zh-CN"/>
              </w:rPr>
              <w:t>科研</w:t>
            </w:r>
          </w:p>
          <w:p w14:paraId="156658CC">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color w:val="000000"/>
                <w:spacing w:val="0"/>
                <w:w w:val="100"/>
                <w:position w:val="0"/>
                <w:sz w:val="24"/>
                <w:szCs w:val="24"/>
                <w:lang w:val="en-US" w:eastAsia="zh-CN"/>
              </w:rPr>
              <w:t>奖励</w:t>
            </w:r>
          </w:p>
        </w:tc>
        <w:tc>
          <w:tcPr>
            <w:tcW w:w="2930" w:type="dxa"/>
            <w:gridSpan w:val="2"/>
            <w:vAlign w:val="center"/>
          </w:tcPr>
          <w:p w14:paraId="731CF123">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获各级各类科研奖励</w:t>
            </w:r>
          </w:p>
        </w:tc>
        <w:tc>
          <w:tcPr>
            <w:tcW w:w="2890" w:type="dxa"/>
            <w:vAlign w:val="center"/>
          </w:tcPr>
          <w:p w14:paraId="7EE25F45">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67.每年获省部级科研奖励1至2次，校级科研奖励1次。</w:t>
            </w:r>
          </w:p>
        </w:tc>
        <w:tc>
          <w:tcPr>
            <w:tcW w:w="2780" w:type="dxa"/>
            <w:vAlign w:val="center"/>
          </w:tcPr>
          <w:p w14:paraId="671EAD21">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每年获省、市级科研奖励1次，校级科研奖励1次。</w:t>
            </w:r>
          </w:p>
        </w:tc>
        <w:tc>
          <w:tcPr>
            <w:tcW w:w="2890" w:type="dxa"/>
            <w:vAlign w:val="center"/>
          </w:tcPr>
          <w:p w14:paraId="4D362E2A">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每年获市、县（市、区）级科研奖励1次，校级科研奖励1次。</w:t>
            </w:r>
          </w:p>
        </w:tc>
        <w:tc>
          <w:tcPr>
            <w:tcW w:w="2700" w:type="dxa"/>
            <w:vAlign w:val="center"/>
          </w:tcPr>
          <w:p w14:paraId="71A70092">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每年获县（市、区）、乡镇（街道）奖励1次。</w:t>
            </w:r>
          </w:p>
        </w:tc>
      </w:tr>
      <w:tr w14:paraId="4C9F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restart"/>
            <w:vAlign w:val="center"/>
          </w:tcPr>
          <w:p w14:paraId="5E9EC32F">
            <w:pPr>
              <w:numPr>
                <w:ilvl w:val="0"/>
                <w:numId w:val="0"/>
              </w:numPr>
              <w:jc w:val="both"/>
              <w:rPr>
                <w:rFonts w:hint="default"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b/>
                <w:bCs/>
                <w:sz w:val="28"/>
                <w:szCs w:val="28"/>
                <w:vertAlign w:val="baseline"/>
                <w:lang w:val="en-US" w:eastAsia="zh-CN"/>
              </w:rPr>
              <w:t>附加项：</w:t>
            </w:r>
            <w:r>
              <w:rPr>
                <w:rFonts w:hint="eastAsia" w:ascii="方正仿宋_GBK" w:hAnsi="方正仿宋_GBK" w:eastAsia="方正仿宋_GBK" w:cs="方正仿宋_GBK"/>
                <w:b/>
                <w:bCs/>
                <w:sz w:val="30"/>
                <w:szCs w:val="30"/>
                <w:vertAlign w:val="baseline"/>
                <w:lang w:val="en-US" w:eastAsia="zh-CN"/>
              </w:rPr>
              <w:t>办学成效</w:t>
            </w:r>
          </w:p>
        </w:tc>
        <w:tc>
          <w:tcPr>
            <w:tcW w:w="3880" w:type="dxa"/>
            <w:gridSpan w:val="3"/>
            <w:vMerge w:val="restart"/>
            <w:vAlign w:val="center"/>
          </w:tcPr>
          <w:p w14:paraId="738B6087">
            <w:pPr>
              <w:numPr>
                <w:ilvl w:val="0"/>
                <w:numId w:val="0"/>
              </w:numPr>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开展学员满意度调查，服务社会成效显著，社会美誉度较高，引起主流媒体关注。</w:t>
            </w:r>
          </w:p>
        </w:tc>
        <w:tc>
          <w:tcPr>
            <w:tcW w:w="2890" w:type="dxa"/>
            <w:vAlign w:val="center"/>
          </w:tcPr>
          <w:p w14:paraId="0F1AD0F5">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1.针对学校管理、教学效果等方面的问卷调查，学员满意度达95%以上（含95%）。</w:t>
            </w:r>
          </w:p>
        </w:tc>
        <w:tc>
          <w:tcPr>
            <w:tcW w:w="2780" w:type="dxa"/>
            <w:vAlign w:val="center"/>
          </w:tcPr>
          <w:p w14:paraId="335C111D">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针对学校管理、教学效果等方面的问卷调查，学员满意度达90%以上（含90%）。</w:t>
            </w:r>
          </w:p>
        </w:tc>
        <w:tc>
          <w:tcPr>
            <w:tcW w:w="2890" w:type="dxa"/>
            <w:vAlign w:val="center"/>
          </w:tcPr>
          <w:p w14:paraId="2AE28B3A">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针对学校管理、教学效果等方面的问卷调查，学员满意度达90%以上（含90%）。</w:t>
            </w:r>
          </w:p>
        </w:tc>
        <w:tc>
          <w:tcPr>
            <w:tcW w:w="2700" w:type="dxa"/>
            <w:vAlign w:val="center"/>
          </w:tcPr>
          <w:p w14:paraId="4F026445">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学员满意度达85%以上（含85%）。</w:t>
            </w:r>
          </w:p>
        </w:tc>
      </w:tr>
      <w:tr w14:paraId="42F48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tcPr>
          <w:p w14:paraId="1EBC0435">
            <w:pPr>
              <w:numPr>
                <w:ilvl w:val="0"/>
                <w:numId w:val="0"/>
              </w:numPr>
              <w:rPr>
                <w:rFonts w:hint="eastAsia" w:ascii="方正仿宋_GBK" w:hAnsi="方正仿宋_GBK" w:eastAsia="方正仿宋_GBK" w:cs="方正仿宋_GBK"/>
                <w:sz w:val="30"/>
                <w:szCs w:val="30"/>
                <w:vertAlign w:val="baseline"/>
                <w:lang w:val="en-US" w:eastAsia="zh-CN"/>
              </w:rPr>
            </w:pPr>
          </w:p>
        </w:tc>
        <w:tc>
          <w:tcPr>
            <w:tcW w:w="3880" w:type="dxa"/>
            <w:gridSpan w:val="3"/>
            <w:vMerge w:val="continue"/>
            <w:vAlign w:val="center"/>
          </w:tcPr>
          <w:p w14:paraId="00161309">
            <w:pPr>
              <w:numPr>
                <w:ilvl w:val="0"/>
                <w:numId w:val="0"/>
              </w:numPr>
              <w:rPr>
                <w:rFonts w:hint="eastAsia" w:ascii="方正仿宋_GBK" w:hAnsi="方正仿宋_GBK" w:eastAsia="方正仿宋_GBK" w:cs="方正仿宋_GBK"/>
                <w:color w:val="000000"/>
                <w:spacing w:val="0"/>
                <w:w w:val="100"/>
                <w:position w:val="0"/>
                <w:sz w:val="21"/>
                <w:szCs w:val="21"/>
                <w:lang w:val="en-US" w:eastAsia="zh-CN"/>
              </w:rPr>
            </w:pPr>
          </w:p>
        </w:tc>
        <w:tc>
          <w:tcPr>
            <w:tcW w:w="2890" w:type="dxa"/>
            <w:vAlign w:val="center"/>
          </w:tcPr>
          <w:p w14:paraId="3414E6F0">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2.每年被中央、省级主流媒体报道宣传4次以上（含4次）。</w:t>
            </w:r>
          </w:p>
        </w:tc>
        <w:tc>
          <w:tcPr>
            <w:tcW w:w="2780" w:type="dxa"/>
            <w:vAlign w:val="center"/>
          </w:tcPr>
          <w:p w14:paraId="327C45A9">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每年被中央、省、市主流媒体报道宣传3次以上（含3次）。</w:t>
            </w:r>
          </w:p>
        </w:tc>
        <w:tc>
          <w:tcPr>
            <w:tcW w:w="2890" w:type="dxa"/>
            <w:vAlign w:val="center"/>
          </w:tcPr>
          <w:p w14:paraId="72ACC824">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每年被主流媒体报道宣传2次以上（含2次）。</w:t>
            </w:r>
          </w:p>
        </w:tc>
        <w:tc>
          <w:tcPr>
            <w:tcW w:w="2700" w:type="dxa"/>
            <w:vAlign w:val="center"/>
          </w:tcPr>
          <w:p w14:paraId="1FE664F2">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每年被主流媒体报道宣传1次以上（含1次）。</w:t>
            </w:r>
          </w:p>
        </w:tc>
      </w:tr>
      <w:tr w14:paraId="368BB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tcPr>
          <w:p w14:paraId="4DCD923E">
            <w:pPr>
              <w:numPr>
                <w:ilvl w:val="0"/>
                <w:numId w:val="0"/>
              </w:numPr>
              <w:rPr>
                <w:rFonts w:hint="eastAsia" w:ascii="方正仿宋_GBK" w:hAnsi="方正仿宋_GBK" w:eastAsia="方正仿宋_GBK" w:cs="方正仿宋_GBK"/>
                <w:sz w:val="30"/>
                <w:szCs w:val="30"/>
                <w:vertAlign w:val="baseline"/>
                <w:lang w:val="en-US" w:eastAsia="zh-CN"/>
              </w:rPr>
            </w:pPr>
          </w:p>
        </w:tc>
        <w:tc>
          <w:tcPr>
            <w:tcW w:w="3880" w:type="dxa"/>
            <w:gridSpan w:val="3"/>
            <w:vMerge w:val="continue"/>
            <w:vAlign w:val="center"/>
          </w:tcPr>
          <w:p w14:paraId="260C23FC">
            <w:pPr>
              <w:numPr>
                <w:ilvl w:val="0"/>
                <w:numId w:val="0"/>
              </w:numPr>
              <w:rPr>
                <w:rFonts w:hint="eastAsia" w:ascii="方正仿宋_GBK" w:hAnsi="方正仿宋_GBK" w:eastAsia="方正仿宋_GBK" w:cs="方正仿宋_GBK"/>
                <w:color w:val="000000"/>
                <w:spacing w:val="0"/>
                <w:w w:val="100"/>
                <w:position w:val="0"/>
                <w:sz w:val="21"/>
                <w:szCs w:val="21"/>
                <w:lang w:val="en-US" w:eastAsia="zh-CN"/>
              </w:rPr>
            </w:pPr>
          </w:p>
        </w:tc>
        <w:tc>
          <w:tcPr>
            <w:tcW w:w="2890" w:type="dxa"/>
            <w:vAlign w:val="center"/>
          </w:tcPr>
          <w:p w14:paraId="50637A9F">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3.积极鼓励学员参加各类展赛，获得省级以上（含省级）荣誉称号。</w:t>
            </w:r>
          </w:p>
        </w:tc>
        <w:tc>
          <w:tcPr>
            <w:tcW w:w="2780" w:type="dxa"/>
            <w:vAlign w:val="center"/>
          </w:tcPr>
          <w:p w14:paraId="38BB99A9">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积极鼓励学员参加各类展赛，获得市级以上（含市级）荣誉称号。</w:t>
            </w:r>
          </w:p>
        </w:tc>
        <w:tc>
          <w:tcPr>
            <w:tcW w:w="2890" w:type="dxa"/>
            <w:vAlign w:val="center"/>
          </w:tcPr>
          <w:p w14:paraId="18D8A472">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积极鼓励学员参加各类展赛，获得县级以上（含县级）荣誉称号。</w:t>
            </w:r>
          </w:p>
        </w:tc>
        <w:tc>
          <w:tcPr>
            <w:tcW w:w="2700" w:type="dxa"/>
            <w:vAlign w:val="center"/>
          </w:tcPr>
          <w:p w14:paraId="7F62184F">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积极鼓励学员参加各类展赛。</w:t>
            </w:r>
          </w:p>
        </w:tc>
      </w:tr>
      <w:tr w14:paraId="24D8C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Merge w:val="continue"/>
          </w:tcPr>
          <w:p w14:paraId="366A7631">
            <w:pPr>
              <w:numPr>
                <w:ilvl w:val="0"/>
                <w:numId w:val="0"/>
              </w:numPr>
              <w:rPr>
                <w:rFonts w:hint="eastAsia" w:ascii="方正仿宋_GBK" w:hAnsi="方正仿宋_GBK" w:eastAsia="方正仿宋_GBK" w:cs="方正仿宋_GBK"/>
                <w:sz w:val="30"/>
                <w:szCs w:val="30"/>
                <w:vertAlign w:val="baseline"/>
                <w:lang w:val="en-US" w:eastAsia="zh-CN"/>
              </w:rPr>
            </w:pPr>
          </w:p>
        </w:tc>
        <w:tc>
          <w:tcPr>
            <w:tcW w:w="3880" w:type="dxa"/>
            <w:gridSpan w:val="3"/>
            <w:vMerge w:val="continue"/>
            <w:vAlign w:val="center"/>
          </w:tcPr>
          <w:p w14:paraId="735BCDE1">
            <w:pPr>
              <w:numPr>
                <w:ilvl w:val="0"/>
                <w:numId w:val="0"/>
              </w:numPr>
              <w:rPr>
                <w:rFonts w:hint="eastAsia" w:ascii="方正仿宋_GBK" w:hAnsi="方正仿宋_GBK" w:eastAsia="方正仿宋_GBK" w:cs="方正仿宋_GBK"/>
                <w:color w:val="000000"/>
                <w:spacing w:val="0"/>
                <w:w w:val="100"/>
                <w:position w:val="0"/>
                <w:sz w:val="21"/>
                <w:szCs w:val="21"/>
                <w:lang w:val="en-US" w:eastAsia="zh-CN"/>
              </w:rPr>
            </w:pPr>
          </w:p>
        </w:tc>
        <w:tc>
          <w:tcPr>
            <w:tcW w:w="2890" w:type="dxa"/>
            <w:vAlign w:val="center"/>
          </w:tcPr>
          <w:p w14:paraId="5CD3B103">
            <w:pPr>
              <w:numPr>
                <w:ilvl w:val="0"/>
                <w:numId w:val="0"/>
              </w:numPr>
              <w:jc w:val="both"/>
              <w:rPr>
                <w:rFonts w:hint="default"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4.学校被同级以上部门、单位评为先进单位。</w:t>
            </w:r>
          </w:p>
        </w:tc>
        <w:tc>
          <w:tcPr>
            <w:tcW w:w="2780" w:type="dxa"/>
            <w:vAlign w:val="center"/>
          </w:tcPr>
          <w:p w14:paraId="5F74C9C5">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学校被同级以上部门、单位评为先进单位。</w:t>
            </w:r>
          </w:p>
        </w:tc>
        <w:tc>
          <w:tcPr>
            <w:tcW w:w="2890" w:type="dxa"/>
            <w:vAlign w:val="center"/>
          </w:tcPr>
          <w:p w14:paraId="0CF603E3">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学校被同级以上部门、单位评为先进单位。</w:t>
            </w:r>
          </w:p>
        </w:tc>
        <w:tc>
          <w:tcPr>
            <w:tcW w:w="2700" w:type="dxa"/>
            <w:vAlign w:val="center"/>
          </w:tcPr>
          <w:p w14:paraId="4FD4DB6A">
            <w:pPr>
              <w:numPr>
                <w:ilvl w:val="0"/>
                <w:numId w:val="0"/>
              </w:numPr>
              <w:jc w:val="both"/>
              <w:rPr>
                <w:rFonts w:hint="eastAsia" w:ascii="方正仿宋_GBK" w:hAnsi="方正仿宋_GBK" w:eastAsia="方正仿宋_GBK" w:cs="方正仿宋_GBK"/>
                <w:color w:val="000000"/>
                <w:spacing w:val="0"/>
                <w:w w:val="100"/>
                <w:position w:val="0"/>
                <w:sz w:val="21"/>
                <w:szCs w:val="21"/>
                <w:lang w:val="en-US" w:eastAsia="zh-CN"/>
              </w:rPr>
            </w:pPr>
            <w:r>
              <w:rPr>
                <w:rFonts w:hint="eastAsia" w:ascii="方正仿宋_GBK" w:hAnsi="方正仿宋_GBK" w:eastAsia="方正仿宋_GBK" w:cs="方正仿宋_GBK"/>
                <w:color w:val="000000"/>
                <w:spacing w:val="0"/>
                <w:w w:val="100"/>
                <w:position w:val="0"/>
                <w:sz w:val="21"/>
                <w:szCs w:val="21"/>
                <w:lang w:val="en-US" w:eastAsia="zh-CN"/>
              </w:rPr>
              <w:t>学校被同级以上部门、单位评为先进单位。</w:t>
            </w:r>
          </w:p>
        </w:tc>
      </w:tr>
    </w:tbl>
    <w:p w14:paraId="43F0AA2F">
      <w:pPr>
        <w:numPr>
          <w:ilvl w:val="0"/>
          <w:numId w:val="0"/>
        </w:numPr>
        <w:rPr>
          <w:rFonts w:hint="default" w:ascii="方正仿宋_GBK" w:hAnsi="方正仿宋_GBK" w:eastAsia="方正仿宋_GBK" w:cs="方正仿宋_GBK"/>
          <w:sz w:val="30"/>
          <w:szCs w:val="30"/>
          <w:lang w:val="en-US" w:eastAsia="zh-CN"/>
        </w:rPr>
      </w:pPr>
      <w:bookmarkStart w:id="0" w:name="_GoBack"/>
      <w:bookmarkEnd w:id="0"/>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5C528D81-8FFA-4539-8094-E21F7F30348C}"/>
  </w:font>
  <w:font w:name="方正小标宋_GBK">
    <w:panose1 w:val="02000000000000000000"/>
    <w:charset w:val="86"/>
    <w:family w:val="auto"/>
    <w:pitch w:val="default"/>
    <w:sig w:usb0="A00002BF" w:usb1="38CF7CFA" w:usb2="00082016" w:usb3="00000000" w:csb0="00040001" w:csb1="00000000"/>
    <w:embedRegular r:id="rId2" w:fontKey="{A3F16BCA-9DD4-4692-B481-F8AAA998EB8C}"/>
  </w:font>
  <w:font w:name="方正仿宋_GBK">
    <w:panose1 w:val="02000000000000000000"/>
    <w:charset w:val="86"/>
    <w:family w:val="auto"/>
    <w:pitch w:val="default"/>
    <w:sig w:usb0="00000001" w:usb1="080E0000" w:usb2="00000000" w:usb3="00000000" w:csb0="00040000" w:csb1="00000000"/>
    <w:embedRegular r:id="rId3" w:fontKey="{DA4EB95A-282A-454E-BABA-1A2CB21A397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67D5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021BDE">
                          <w:pPr>
                            <w:pStyle w:val="5"/>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4021BDE">
                    <w:pPr>
                      <w:pStyle w:val="5"/>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4A516EF0"/>
    <w:rsid w:val="041B280B"/>
    <w:rsid w:val="05FE3C97"/>
    <w:rsid w:val="081D2FF5"/>
    <w:rsid w:val="0B2D4962"/>
    <w:rsid w:val="0C712EE4"/>
    <w:rsid w:val="0D0C53E6"/>
    <w:rsid w:val="0D910C60"/>
    <w:rsid w:val="117A3DCE"/>
    <w:rsid w:val="13D42DD5"/>
    <w:rsid w:val="14515F8B"/>
    <w:rsid w:val="151934F1"/>
    <w:rsid w:val="15681628"/>
    <w:rsid w:val="15892FCD"/>
    <w:rsid w:val="16345246"/>
    <w:rsid w:val="16B9038D"/>
    <w:rsid w:val="193C52A5"/>
    <w:rsid w:val="1B415EF7"/>
    <w:rsid w:val="1BEE6E38"/>
    <w:rsid w:val="1BFF340E"/>
    <w:rsid w:val="1F3B4592"/>
    <w:rsid w:val="247C6E9E"/>
    <w:rsid w:val="24E11008"/>
    <w:rsid w:val="25751C4C"/>
    <w:rsid w:val="26B71915"/>
    <w:rsid w:val="29C00EB4"/>
    <w:rsid w:val="2CC35910"/>
    <w:rsid w:val="2D1932CA"/>
    <w:rsid w:val="2DEF6BB5"/>
    <w:rsid w:val="315E782B"/>
    <w:rsid w:val="33D413C4"/>
    <w:rsid w:val="34C61DA9"/>
    <w:rsid w:val="34E91C3E"/>
    <w:rsid w:val="38964867"/>
    <w:rsid w:val="3A66310A"/>
    <w:rsid w:val="3EB92D70"/>
    <w:rsid w:val="42647D0E"/>
    <w:rsid w:val="42F33601"/>
    <w:rsid w:val="43E97E7C"/>
    <w:rsid w:val="444F0682"/>
    <w:rsid w:val="44E73EE5"/>
    <w:rsid w:val="45C65F44"/>
    <w:rsid w:val="48256D81"/>
    <w:rsid w:val="498460AB"/>
    <w:rsid w:val="49BD0309"/>
    <w:rsid w:val="4A516EF0"/>
    <w:rsid w:val="4AE05E10"/>
    <w:rsid w:val="4B937833"/>
    <w:rsid w:val="53E43F94"/>
    <w:rsid w:val="545C278E"/>
    <w:rsid w:val="55EA0DC4"/>
    <w:rsid w:val="566A1DDE"/>
    <w:rsid w:val="576D19D8"/>
    <w:rsid w:val="582A71C1"/>
    <w:rsid w:val="58A86A93"/>
    <w:rsid w:val="58DD7FD9"/>
    <w:rsid w:val="599F5EE4"/>
    <w:rsid w:val="5F2C67EF"/>
    <w:rsid w:val="606C4A5E"/>
    <w:rsid w:val="646A05C7"/>
    <w:rsid w:val="6686146F"/>
    <w:rsid w:val="685C6397"/>
    <w:rsid w:val="6B675CE0"/>
    <w:rsid w:val="6C2F5C76"/>
    <w:rsid w:val="6C4D21D1"/>
    <w:rsid w:val="6C4D6722"/>
    <w:rsid w:val="6D2A0812"/>
    <w:rsid w:val="6F1B7EB6"/>
    <w:rsid w:val="70B55C68"/>
    <w:rsid w:val="72270861"/>
    <w:rsid w:val="73CC2623"/>
    <w:rsid w:val="73F43927"/>
    <w:rsid w:val="753E213F"/>
    <w:rsid w:val="75511EB2"/>
    <w:rsid w:val="783E5097"/>
    <w:rsid w:val="7DDE1BA2"/>
    <w:rsid w:val="7E651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9"/>
    <w:basedOn w:val="1"/>
    <w:next w:val="1"/>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Plain Text"/>
    <w:basedOn w:val="1"/>
    <w:semiHidden/>
    <w:unhideWhenUsed/>
    <w:qFormat/>
    <w:uiPriority w:val="99"/>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61"/>
    <w:basedOn w:val="10"/>
    <w:qFormat/>
    <w:uiPriority w:val="0"/>
    <w:rPr>
      <w:rFonts w:hint="eastAsia" w:ascii="宋体" w:hAnsi="宋体" w:eastAsia="宋体" w:cs="宋体"/>
      <w:color w:val="000000"/>
      <w:sz w:val="24"/>
      <w:szCs w:val="24"/>
      <w:u w:val="none"/>
    </w:rPr>
  </w:style>
  <w:style w:type="character" w:customStyle="1" w:styleId="12">
    <w:name w:val="font51"/>
    <w:basedOn w:val="10"/>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11627</Words>
  <Characters>11948</Characters>
  <Lines>0</Lines>
  <Paragraphs>0</Paragraphs>
  <TotalTime>1</TotalTime>
  <ScaleCrop>false</ScaleCrop>
  <LinksUpToDate>false</LinksUpToDate>
  <CharactersWithSpaces>11948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2024-05-03T10:25:00Z</dcterms:created>
  <dc:creator>钱自海</dc:creator>
  <cp:lastModifiedBy>＇Lee</cp:lastModifiedBy>
  <cp:lastPrinted>2025-08-04T02:34:00Z</cp:lastPrinted>
  <dcterms:modified xsi:type="dcterms:W3CDTF">2025-08-07T07:42:32Z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1C4FBD9F79F94B949030F22A12839817_13</vt:lpwstr>
  </property>
  <property fmtid="{D5CDD505-2E9C-101B-9397-08002B2CF9AE}" pid="4" name="KSOTemplateDocerSaveRecord">
    <vt:lpwstr>eyJoZGlkIjoiN2YyMDYwOTc3YTc4YjVmZDNmMTA4OTc5YTVkNTkwMTgiLCJ1c2VySWQiOiIzMzYwNjkyNTQifQ==</vt:lpwstr>
  </property>
</Properties>
</file>